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73C814B3"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#99</w:t>
      </w:r>
      <w:r w:rsidR="00555CF9" w:rsidRPr="00A66DAB">
        <w:rPr>
          <w:rFonts w:cs="Arial"/>
          <w:bCs/>
          <w:noProof w:val="0"/>
          <w:sz w:val="24"/>
        </w:rPr>
        <w:t xml:space="preserve">                                                </w:t>
      </w:r>
      <w:r w:rsidR="00207D7F">
        <w:rPr>
          <w:rFonts w:cs="Arial"/>
          <w:bCs/>
          <w:noProof w:val="0"/>
          <w:sz w:val="24"/>
        </w:rPr>
        <w:t xml:space="preserve">          </w:t>
      </w:r>
      <w:r w:rsidR="008203D8" w:rsidRPr="008203D8">
        <w:rPr>
          <w:rFonts w:cs="Arial"/>
          <w:bCs/>
          <w:noProof w:val="0"/>
          <w:sz w:val="24"/>
        </w:rPr>
        <w:t>R2-17</w:t>
      </w:r>
      <w:r w:rsidR="00CA4BE6">
        <w:rPr>
          <w:rFonts w:cs="Arial"/>
          <w:bCs/>
          <w:noProof w:val="0"/>
          <w:sz w:val="24"/>
        </w:rPr>
        <w:t>09045</w:t>
      </w:r>
    </w:p>
    <w:p w14:paraId="6E5B34B2" w14:textId="5CE6B953" w:rsidR="003F5E77" w:rsidRPr="00A66DAB" w:rsidRDefault="00207D7F" w:rsidP="003F5E77">
      <w:pPr>
        <w:pStyle w:val="Header"/>
        <w:jc w:val="both"/>
        <w:rPr>
          <w:rFonts w:cs="Arial"/>
          <w:sz w:val="24"/>
          <w:lang w:eastAsia="zh-CN"/>
        </w:rPr>
      </w:pPr>
      <w:r>
        <w:rPr>
          <w:rFonts w:cs="Arial"/>
          <w:sz w:val="24"/>
          <w:szCs w:val="24"/>
          <w:bdr w:val="none" w:sz="0" w:space="0" w:color="auto" w:frame="1"/>
        </w:rPr>
        <w:t>Berlin, Germany</w:t>
      </w:r>
      <w:r w:rsidR="003F5E77">
        <w:rPr>
          <w:rFonts w:cs="Arial"/>
          <w:sz w:val="24"/>
          <w:szCs w:val="24"/>
          <w:lang w:eastAsia="zh-CN"/>
        </w:rPr>
        <w:t>,</w:t>
      </w:r>
      <w:r w:rsidR="003F5E77" w:rsidRPr="00A66DAB">
        <w:rPr>
          <w:rFonts w:cs="Arial"/>
          <w:sz w:val="24"/>
          <w:lang w:eastAsia="zh-CN"/>
        </w:rPr>
        <w:t xml:space="preserve"> </w:t>
      </w:r>
      <w:r>
        <w:rPr>
          <w:rFonts w:cs="Arial"/>
          <w:sz w:val="24"/>
          <w:lang w:eastAsia="zh-CN"/>
        </w:rPr>
        <w:t>21</w:t>
      </w:r>
      <w:r>
        <w:rPr>
          <w:rFonts w:cs="Arial"/>
          <w:sz w:val="24"/>
          <w:vertAlign w:val="superscript"/>
          <w:lang w:eastAsia="zh-CN"/>
        </w:rPr>
        <w:t>st</w:t>
      </w:r>
      <w:r w:rsidR="00E43E99">
        <w:rPr>
          <w:rFonts w:cs="Arial"/>
          <w:sz w:val="24"/>
          <w:lang w:eastAsia="zh-CN"/>
        </w:rPr>
        <w:t xml:space="preserve"> </w:t>
      </w:r>
      <w:r w:rsidR="00AF5795">
        <w:rPr>
          <w:rFonts w:cs="Arial"/>
          <w:sz w:val="24"/>
          <w:lang w:eastAsia="zh-CN"/>
        </w:rPr>
        <w:t xml:space="preserve">– </w:t>
      </w:r>
      <w:r w:rsidR="00FC13B9">
        <w:rPr>
          <w:rFonts w:cs="Arial"/>
          <w:sz w:val="24"/>
          <w:lang w:eastAsia="zh-CN"/>
        </w:rPr>
        <w:t>2</w:t>
      </w:r>
      <w:r>
        <w:rPr>
          <w:rFonts w:cs="Arial"/>
          <w:sz w:val="24"/>
          <w:lang w:eastAsia="zh-CN"/>
        </w:rPr>
        <w:t>5</w:t>
      </w:r>
      <w:r w:rsidR="00EC1DFF" w:rsidRPr="003B2E53">
        <w:rPr>
          <w:rFonts w:cs="Arial"/>
          <w:sz w:val="24"/>
          <w:vertAlign w:val="superscript"/>
          <w:lang w:eastAsia="zh-CN"/>
        </w:rPr>
        <w:t>th</w:t>
      </w:r>
      <w:r w:rsidR="003F5E77" w:rsidRPr="00A66DAB">
        <w:rPr>
          <w:rFonts w:cs="Arial"/>
          <w:sz w:val="24"/>
          <w:lang w:eastAsia="zh-CN"/>
        </w:rPr>
        <w:t xml:space="preserve"> </w:t>
      </w:r>
      <w:r>
        <w:rPr>
          <w:rFonts w:cs="Arial"/>
          <w:sz w:val="24"/>
          <w:lang w:eastAsia="zh-CN"/>
        </w:rPr>
        <w:t>August,</w:t>
      </w:r>
      <w:r w:rsidR="003F5E77">
        <w:rPr>
          <w:rFonts w:cs="Arial"/>
          <w:sz w:val="24"/>
          <w:lang w:eastAsia="zh-CN"/>
        </w:rPr>
        <w:t xml:space="preserve"> 2017</w:t>
      </w:r>
      <w:r w:rsidR="00ED5949">
        <w:rPr>
          <w:rFonts w:cs="Arial"/>
          <w:sz w:val="24"/>
          <w:lang w:eastAsia="zh-CN"/>
        </w:rPr>
        <w:t xml:space="preserve">    </w:t>
      </w:r>
      <w:r>
        <w:rPr>
          <w:rFonts w:cs="Arial"/>
          <w:sz w:val="24"/>
          <w:lang w:eastAsia="zh-CN"/>
        </w:rPr>
        <w:t xml:space="preserve">                            </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60DBA6D9"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3C4A73">
        <w:rPr>
          <w:rFonts w:cs="Arial"/>
          <w:bCs/>
          <w:sz w:val="24"/>
          <w:lang w:val="en-US"/>
        </w:rPr>
        <w:t>9.14.6</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55F851CE"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3C4A73">
        <w:rPr>
          <w:rFonts w:ascii="Arial" w:hAnsi="Arial" w:cs="Arial"/>
          <w:bCs/>
          <w:sz w:val="24"/>
        </w:rPr>
        <w:t>On the need for UL HARQ feedback</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1AC09F73" w14:textId="13575CA0" w:rsidR="001B28D5" w:rsidRDefault="001B28D5" w:rsidP="003C4A73">
      <w:pPr>
        <w:rPr>
          <w:lang w:val="en-GB" w:eastAsia="x-none"/>
        </w:rPr>
      </w:pPr>
      <w:r>
        <w:rPr>
          <w:lang w:val="en-GB" w:eastAsia="x-none"/>
        </w:rPr>
        <w:t xml:space="preserve">In RAN1, the need for the HAQR feedback for the UL transmission in </w:t>
      </w:r>
      <w:proofErr w:type="spellStart"/>
      <w:r>
        <w:rPr>
          <w:lang w:val="en-GB" w:eastAsia="x-none"/>
        </w:rPr>
        <w:t>efeMTC</w:t>
      </w:r>
      <w:proofErr w:type="spellEnd"/>
      <w:r>
        <w:rPr>
          <w:lang w:val="en-GB" w:eastAsia="x-none"/>
        </w:rPr>
        <w:t xml:space="preserve"> has already been discussed. In RAN1 88bis meeting [</w:t>
      </w:r>
      <w:r w:rsidR="00EA2F81">
        <w:rPr>
          <w:lang w:val="en-GB" w:eastAsia="x-none"/>
        </w:rPr>
        <w:t>1</w:t>
      </w:r>
      <w:r>
        <w:rPr>
          <w:lang w:val="en-GB" w:eastAsia="x-none"/>
        </w:rPr>
        <w:t xml:space="preserve">], following agreements were made. </w:t>
      </w:r>
    </w:p>
    <w:tbl>
      <w:tblPr>
        <w:tblStyle w:val="TableGrid"/>
        <w:tblW w:w="0" w:type="auto"/>
        <w:tblLook w:val="04A0" w:firstRow="1" w:lastRow="0" w:firstColumn="1" w:lastColumn="0" w:noHBand="0" w:noVBand="1"/>
      </w:tblPr>
      <w:tblGrid>
        <w:gridCol w:w="9350"/>
      </w:tblGrid>
      <w:tr w:rsidR="001B28D5" w14:paraId="11A52550" w14:textId="77777777" w:rsidTr="001B28D5">
        <w:tc>
          <w:tcPr>
            <w:tcW w:w="9350" w:type="dxa"/>
          </w:tcPr>
          <w:p w14:paraId="07951FAB" w14:textId="77777777" w:rsidR="001B28D5" w:rsidRPr="001B28D5" w:rsidRDefault="001B28D5" w:rsidP="001B28D5">
            <w:pPr>
              <w:rPr>
                <w:rFonts w:eastAsia="MS Mincho"/>
                <w:b/>
                <w:i/>
                <w:u w:val="single"/>
                <w:lang w:eastAsia="ja-JP"/>
              </w:rPr>
            </w:pPr>
            <w:r w:rsidRPr="001B28D5">
              <w:rPr>
                <w:rFonts w:eastAsia="MS Mincho"/>
                <w:b/>
                <w:i/>
                <w:highlight w:val="green"/>
                <w:u w:val="single"/>
                <w:lang w:eastAsia="ja-JP"/>
              </w:rPr>
              <w:t>Agreements:</w:t>
            </w:r>
          </w:p>
          <w:p w14:paraId="7EECA009" w14:textId="77777777" w:rsidR="001B28D5" w:rsidRPr="001B28D5" w:rsidRDefault="001B28D5" w:rsidP="001B28D5">
            <w:pPr>
              <w:numPr>
                <w:ilvl w:val="0"/>
                <w:numId w:val="25"/>
              </w:numPr>
              <w:tabs>
                <w:tab w:val="left" w:pos="720"/>
              </w:tabs>
              <w:overflowPunct/>
              <w:autoSpaceDE/>
              <w:autoSpaceDN/>
              <w:adjustRightInd/>
              <w:spacing w:after="0"/>
              <w:rPr>
                <w:rFonts w:eastAsia="MS Mincho"/>
                <w:i/>
                <w:lang w:eastAsia="ja-JP"/>
              </w:rPr>
            </w:pPr>
            <w:r w:rsidRPr="001B28D5">
              <w:rPr>
                <w:rFonts w:eastAsia="MS Mincho"/>
                <w:i/>
                <w:lang w:eastAsia="ja-JP"/>
              </w:rPr>
              <w:t>For the purpose of evaluations of HARQ-ACK feedback for UE power saving:</w:t>
            </w:r>
          </w:p>
          <w:p w14:paraId="56C46CF5" w14:textId="77777777" w:rsidR="001B28D5" w:rsidRPr="001B28D5" w:rsidRDefault="001B28D5" w:rsidP="001B28D5">
            <w:pPr>
              <w:numPr>
                <w:ilvl w:val="1"/>
                <w:numId w:val="25"/>
              </w:numPr>
              <w:tabs>
                <w:tab w:val="left" w:pos="720"/>
              </w:tabs>
              <w:overflowPunct/>
              <w:autoSpaceDE/>
              <w:autoSpaceDN/>
              <w:adjustRightInd/>
              <w:spacing w:after="0"/>
              <w:rPr>
                <w:rFonts w:eastAsia="MS Mincho"/>
                <w:i/>
                <w:lang w:eastAsia="ja-JP"/>
              </w:rPr>
            </w:pPr>
            <w:r w:rsidRPr="001B28D5">
              <w:rPr>
                <w:rFonts w:eastAsia="MS Mincho"/>
                <w:i/>
                <w:lang w:eastAsia="ja-JP"/>
              </w:rPr>
              <w:t>At least the following two options are considered for HARQ-ACK feedback channel:</w:t>
            </w:r>
          </w:p>
          <w:p w14:paraId="4894DE3A" w14:textId="77777777" w:rsidR="001B28D5" w:rsidRPr="001B28D5" w:rsidRDefault="001B28D5" w:rsidP="001B28D5">
            <w:pPr>
              <w:numPr>
                <w:ilvl w:val="2"/>
                <w:numId w:val="25"/>
              </w:numPr>
              <w:tabs>
                <w:tab w:val="left" w:pos="720"/>
              </w:tabs>
              <w:overflowPunct/>
              <w:autoSpaceDE/>
              <w:autoSpaceDN/>
              <w:adjustRightInd/>
              <w:spacing w:after="0"/>
              <w:rPr>
                <w:rFonts w:eastAsia="MS Mincho"/>
                <w:i/>
                <w:lang w:eastAsia="ja-JP"/>
              </w:rPr>
            </w:pPr>
            <w:r w:rsidRPr="001B28D5">
              <w:rPr>
                <w:rFonts w:eastAsia="MS Mincho"/>
                <w:i/>
                <w:lang w:eastAsia="ja-JP"/>
              </w:rPr>
              <w:t>Option 1: One HARQ-ACK feedback channel for multiple UE PUSCHs in one transmission</w:t>
            </w:r>
          </w:p>
          <w:p w14:paraId="121E2E24" w14:textId="77777777" w:rsidR="001B28D5" w:rsidRPr="001B28D5" w:rsidRDefault="001B28D5" w:rsidP="001B28D5">
            <w:pPr>
              <w:numPr>
                <w:ilvl w:val="2"/>
                <w:numId w:val="25"/>
              </w:numPr>
              <w:tabs>
                <w:tab w:val="left" w:pos="720"/>
              </w:tabs>
              <w:overflowPunct/>
              <w:autoSpaceDE/>
              <w:autoSpaceDN/>
              <w:adjustRightInd/>
              <w:spacing w:after="0"/>
              <w:rPr>
                <w:rFonts w:eastAsia="MS Mincho"/>
                <w:i/>
                <w:lang w:eastAsia="ja-JP"/>
              </w:rPr>
            </w:pPr>
            <w:r w:rsidRPr="001B28D5">
              <w:rPr>
                <w:rFonts w:eastAsia="MS Mincho"/>
                <w:i/>
                <w:lang w:eastAsia="ja-JP"/>
              </w:rPr>
              <w:t>Option 2: One HARQ-ACK feedback channel for a single UE PUSCH in one transmission</w:t>
            </w:r>
          </w:p>
          <w:p w14:paraId="2ADCD11A" w14:textId="77777777" w:rsidR="001B28D5" w:rsidRPr="001B28D5" w:rsidRDefault="001B28D5" w:rsidP="001B28D5">
            <w:pPr>
              <w:numPr>
                <w:ilvl w:val="1"/>
                <w:numId w:val="25"/>
              </w:numPr>
              <w:tabs>
                <w:tab w:val="left" w:pos="720"/>
              </w:tabs>
              <w:overflowPunct/>
              <w:autoSpaceDE/>
              <w:autoSpaceDN/>
              <w:adjustRightInd/>
              <w:spacing w:after="0"/>
              <w:rPr>
                <w:rFonts w:eastAsia="MS Mincho"/>
                <w:i/>
                <w:lang w:eastAsia="ja-JP"/>
              </w:rPr>
            </w:pPr>
            <w:r w:rsidRPr="001B28D5">
              <w:rPr>
                <w:rFonts w:eastAsia="MS Mincho"/>
                <w:i/>
                <w:lang w:eastAsia="ja-JP"/>
              </w:rPr>
              <w:t>Detailed design on HARQ-feedback channel FFS among at least the following options:</w:t>
            </w:r>
          </w:p>
          <w:p w14:paraId="744EAADC" w14:textId="77777777" w:rsidR="001B28D5" w:rsidRPr="001B28D5" w:rsidRDefault="001B28D5" w:rsidP="001B28D5">
            <w:pPr>
              <w:numPr>
                <w:ilvl w:val="2"/>
                <w:numId w:val="25"/>
              </w:numPr>
              <w:tabs>
                <w:tab w:val="left" w:pos="720"/>
              </w:tabs>
              <w:overflowPunct/>
              <w:autoSpaceDE/>
              <w:autoSpaceDN/>
              <w:adjustRightInd/>
              <w:spacing w:after="0"/>
              <w:rPr>
                <w:rFonts w:eastAsia="MS Mincho"/>
                <w:i/>
                <w:lang w:eastAsia="ja-JP"/>
              </w:rPr>
            </w:pPr>
            <w:r w:rsidRPr="001B28D5">
              <w:rPr>
                <w:rFonts w:eastAsia="MS Mincho"/>
                <w:i/>
                <w:lang w:eastAsia="ja-JP"/>
              </w:rPr>
              <w:t>PHICH-like channel</w:t>
            </w:r>
          </w:p>
          <w:p w14:paraId="08FDA0A7" w14:textId="77777777" w:rsidR="001B28D5" w:rsidRPr="001B28D5" w:rsidRDefault="001B28D5" w:rsidP="001B28D5">
            <w:pPr>
              <w:numPr>
                <w:ilvl w:val="2"/>
                <w:numId w:val="25"/>
              </w:numPr>
              <w:tabs>
                <w:tab w:val="left" w:pos="720"/>
              </w:tabs>
              <w:overflowPunct/>
              <w:autoSpaceDE/>
              <w:autoSpaceDN/>
              <w:adjustRightInd/>
              <w:spacing w:after="0"/>
              <w:rPr>
                <w:rFonts w:eastAsia="MS Mincho"/>
                <w:i/>
                <w:lang w:eastAsia="ja-JP"/>
              </w:rPr>
            </w:pPr>
            <w:r w:rsidRPr="001B28D5">
              <w:rPr>
                <w:rFonts w:eastAsia="MS Mincho"/>
                <w:i/>
                <w:lang w:eastAsia="ja-JP"/>
              </w:rPr>
              <w:t>MPDCCH with reduced DCI size(s)</w:t>
            </w:r>
          </w:p>
          <w:p w14:paraId="0508DB59" w14:textId="77777777" w:rsidR="001B28D5" w:rsidRPr="001B28D5" w:rsidRDefault="001B28D5" w:rsidP="001B28D5">
            <w:pPr>
              <w:numPr>
                <w:ilvl w:val="2"/>
                <w:numId w:val="25"/>
              </w:numPr>
              <w:tabs>
                <w:tab w:val="left" w:pos="720"/>
              </w:tabs>
              <w:overflowPunct/>
              <w:autoSpaceDE/>
              <w:autoSpaceDN/>
              <w:adjustRightInd/>
              <w:spacing w:after="0"/>
              <w:rPr>
                <w:rFonts w:eastAsia="MS Mincho"/>
                <w:i/>
                <w:lang w:eastAsia="ja-JP"/>
              </w:rPr>
            </w:pPr>
            <w:r w:rsidRPr="001B28D5">
              <w:rPr>
                <w:rFonts w:eastAsia="MS Mincho"/>
                <w:i/>
                <w:lang w:eastAsia="ja-JP"/>
              </w:rPr>
              <w:t>MPDCCH with existing DCI size(s)</w:t>
            </w:r>
          </w:p>
          <w:p w14:paraId="3FD38D0B" w14:textId="77777777" w:rsidR="001B28D5" w:rsidRPr="001B28D5" w:rsidRDefault="001B28D5" w:rsidP="001B28D5">
            <w:pPr>
              <w:numPr>
                <w:ilvl w:val="1"/>
                <w:numId w:val="24"/>
              </w:numPr>
              <w:overflowPunct/>
              <w:autoSpaceDE/>
              <w:autoSpaceDN/>
              <w:adjustRightInd/>
              <w:spacing w:after="0"/>
              <w:rPr>
                <w:rFonts w:eastAsia="MS Mincho"/>
                <w:i/>
                <w:lang w:eastAsia="ja-JP"/>
              </w:rPr>
            </w:pPr>
            <w:r w:rsidRPr="001B28D5">
              <w:rPr>
                <w:rFonts w:eastAsia="MS Mincho"/>
                <w:i/>
                <w:lang w:eastAsia="ja-JP"/>
              </w:rPr>
              <w:t>Early termination of PUSCH transmission and/or MPDCCH monitoring are considered.</w:t>
            </w:r>
          </w:p>
          <w:p w14:paraId="3F21E042" w14:textId="170A6992" w:rsidR="001B28D5" w:rsidRDefault="001B28D5" w:rsidP="001B28D5">
            <w:pPr>
              <w:numPr>
                <w:ilvl w:val="2"/>
                <w:numId w:val="24"/>
              </w:numPr>
              <w:overflowPunct/>
              <w:autoSpaceDE/>
              <w:autoSpaceDN/>
              <w:adjustRightInd/>
              <w:spacing w:after="0"/>
              <w:rPr>
                <w:lang w:val="en-GB" w:eastAsia="x-none"/>
              </w:rPr>
            </w:pPr>
            <w:r w:rsidRPr="001B28D5">
              <w:rPr>
                <w:rFonts w:eastAsia="MS Mincho"/>
                <w:i/>
                <w:lang w:eastAsia="ja-JP"/>
              </w:rPr>
              <w:t>The detailed solutions can be different for HD-FDD and FD-FDD/TDD.</w:t>
            </w:r>
          </w:p>
        </w:tc>
      </w:tr>
    </w:tbl>
    <w:p w14:paraId="112F65D1" w14:textId="2B36CCE8" w:rsidR="003C4A73" w:rsidRDefault="001B28D5" w:rsidP="001B28D5">
      <w:pPr>
        <w:spacing w:before="240"/>
        <w:rPr>
          <w:lang w:val="en-GB" w:eastAsia="x-none"/>
        </w:rPr>
      </w:pPr>
      <w:r>
        <w:rPr>
          <w:lang w:val="en-GB" w:eastAsia="x-none"/>
        </w:rPr>
        <w:t>In RAN1 89 meeting [</w:t>
      </w:r>
      <w:r w:rsidR="006134B8">
        <w:rPr>
          <w:lang w:val="en-GB" w:eastAsia="x-none"/>
        </w:rPr>
        <w:t>2</w:t>
      </w:r>
      <w:r>
        <w:rPr>
          <w:lang w:val="en-GB" w:eastAsia="x-none"/>
        </w:rPr>
        <w:t>] following agreements were made.</w:t>
      </w:r>
    </w:p>
    <w:tbl>
      <w:tblPr>
        <w:tblStyle w:val="TableGrid"/>
        <w:tblW w:w="0" w:type="auto"/>
        <w:tblLook w:val="04A0" w:firstRow="1" w:lastRow="0" w:firstColumn="1" w:lastColumn="0" w:noHBand="0" w:noVBand="1"/>
      </w:tblPr>
      <w:tblGrid>
        <w:gridCol w:w="9350"/>
      </w:tblGrid>
      <w:tr w:rsidR="001B28D5" w14:paraId="79E63774" w14:textId="77777777" w:rsidTr="001B28D5">
        <w:tc>
          <w:tcPr>
            <w:tcW w:w="9350" w:type="dxa"/>
          </w:tcPr>
          <w:p w14:paraId="0FEA6211" w14:textId="77777777" w:rsidR="001B28D5" w:rsidRPr="001B28D5" w:rsidRDefault="001B28D5" w:rsidP="001B28D5">
            <w:pPr>
              <w:rPr>
                <w:rFonts w:eastAsia="MS Mincho"/>
                <w:i/>
                <w:lang w:eastAsia="ja-JP"/>
              </w:rPr>
            </w:pPr>
            <w:r w:rsidRPr="001B28D5">
              <w:rPr>
                <w:rFonts w:eastAsia="MS Mincho"/>
                <w:i/>
                <w:highlight w:val="green"/>
                <w:lang w:eastAsia="ja-JP"/>
              </w:rPr>
              <w:t>Agreement:</w:t>
            </w:r>
          </w:p>
          <w:p w14:paraId="0DE3DEC7" w14:textId="5BC39DD2" w:rsidR="001B28D5" w:rsidRDefault="001B28D5" w:rsidP="001B28D5">
            <w:pPr>
              <w:numPr>
                <w:ilvl w:val="0"/>
                <w:numId w:val="23"/>
              </w:numPr>
              <w:overflowPunct/>
              <w:autoSpaceDE/>
              <w:autoSpaceDN/>
              <w:adjustRightInd/>
              <w:spacing w:after="0"/>
              <w:rPr>
                <w:lang w:val="en-GB" w:eastAsia="x-none"/>
              </w:rPr>
            </w:pPr>
            <w:r w:rsidRPr="001B28D5">
              <w:rPr>
                <w:rFonts w:eastAsia="MS Mincho"/>
                <w:i/>
                <w:lang w:eastAsia="ja-JP"/>
              </w:rPr>
              <w:t>If explicit UL HARQ-ACK feedback is supported, it is based on MPDCCH.</w:t>
            </w:r>
          </w:p>
        </w:tc>
      </w:tr>
    </w:tbl>
    <w:p w14:paraId="30ED5B9F" w14:textId="78AA8692" w:rsidR="001B28D5" w:rsidRPr="003C4A73" w:rsidRDefault="001B28D5" w:rsidP="001B28D5">
      <w:pPr>
        <w:spacing w:before="240"/>
        <w:rPr>
          <w:lang w:val="en-GB" w:eastAsia="x-none"/>
        </w:rPr>
      </w:pPr>
      <w:r>
        <w:rPr>
          <w:lang w:val="en-GB" w:eastAsia="x-none"/>
        </w:rPr>
        <w:t>In this contribution, we discuss the benefits and any impacts in RAN2 of UL HARQ ACK feedback and early termination of PUSCH transmission.</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6261CC47" w14:textId="61A1DF19" w:rsidR="003C4A73" w:rsidRDefault="0098301D" w:rsidP="001B28D5">
      <w:pPr>
        <w:pStyle w:val="Heading2"/>
      </w:pPr>
      <w:r>
        <w:t>Explicit</w:t>
      </w:r>
      <w:r w:rsidR="001B28D5">
        <w:t xml:space="preserve"> UL HARQ ACK</w:t>
      </w:r>
    </w:p>
    <w:p w14:paraId="77D07C6D" w14:textId="455E5C31" w:rsidR="0098301D" w:rsidRDefault="001B28D5" w:rsidP="001B28D5">
      <w:pPr>
        <w:rPr>
          <w:lang w:val="en-GB" w:eastAsia="x-none"/>
        </w:rPr>
      </w:pPr>
      <w:r>
        <w:rPr>
          <w:lang w:val="en-GB" w:eastAsia="x-none"/>
        </w:rPr>
        <w:t xml:space="preserve">In Rel-13 </w:t>
      </w:r>
      <w:proofErr w:type="spellStart"/>
      <w:r>
        <w:rPr>
          <w:lang w:val="en-GB" w:eastAsia="x-none"/>
        </w:rPr>
        <w:t>eMTC</w:t>
      </w:r>
      <w:proofErr w:type="spellEnd"/>
      <w:r>
        <w:rPr>
          <w:lang w:val="en-GB" w:eastAsia="x-none"/>
        </w:rPr>
        <w:t xml:space="preserve"> and Rel-14 </w:t>
      </w:r>
      <w:proofErr w:type="spellStart"/>
      <w:r>
        <w:rPr>
          <w:lang w:val="en-GB" w:eastAsia="x-none"/>
        </w:rPr>
        <w:t>feMTC</w:t>
      </w:r>
      <w:proofErr w:type="spellEnd"/>
      <w:r>
        <w:rPr>
          <w:lang w:val="en-GB" w:eastAsia="x-none"/>
        </w:rPr>
        <w:t>, the HARQ operation for the PUSCH is asynchronous.</w:t>
      </w:r>
      <w:r w:rsidR="0098301D">
        <w:rPr>
          <w:lang w:val="en-GB" w:eastAsia="x-none"/>
        </w:rPr>
        <w:t xml:space="preserve"> There is no explicit HARQ feedback for PUSCH transmission.</w:t>
      </w:r>
      <w:r>
        <w:rPr>
          <w:lang w:val="en-GB" w:eastAsia="x-none"/>
        </w:rPr>
        <w:t xml:space="preserve"> The HARQ-NACK feedback is </w:t>
      </w:r>
      <w:r w:rsidR="0098301D">
        <w:rPr>
          <w:lang w:val="en-GB" w:eastAsia="x-none"/>
        </w:rPr>
        <w:t>implied</w:t>
      </w:r>
      <w:r>
        <w:rPr>
          <w:lang w:val="en-GB" w:eastAsia="x-none"/>
        </w:rPr>
        <w:t xml:space="preserve"> by the retransmission UL grant</w:t>
      </w:r>
      <w:r w:rsidR="0098301D">
        <w:rPr>
          <w:lang w:val="en-GB" w:eastAsia="x-none"/>
        </w:rPr>
        <w:t xml:space="preserve"> for the same HARQ process and the HARQ-ACK is implied by the new UL grant for the same HARQ process.</w:t>
      </w:r>
      <w:r>
        <w:rPr>
          <w:lang w:val="en-GB" w:eastAsia="x-none"/>
        </w:rPr>
        <w:t xml:space="preserve"> </w:t>
      </w:r>
      <w:r w:rsidR="00CE14FA">
        <w:rPr>
          <w:lang w:val="en-GB" w:eastAsia="x-none"/>
        </w:rPr>
        <w:t>W</w:t>
      </w:r>
      <w:r>
        <w:rPr>
          <w:lang w:val="en-GB" w:eastAsia="x-none"/>
        </w:rPr>
        <w:t>hen connected mode DRX is configured</w:t>
      </w:r>
      <w:r w:rsidR="0098301D">
        <w:rPr>
          <w:lang w:val="en-GB" w:eastAsia="x-none"/>
        </w:rPr>
        <w:t>, the HARQ-ACK for PUSCH can also be implied if UE receives nothing after the UL DRX retransmission timer (</w:t>
      </w:r>
      <w:proofErr w:type="spellStart"/>
      <w:r w:rsidR="0098301D" w:rsidRPr="005D6B7E">
        <w:rPr>
          <w:i/>
          <w:lang w:eastAsia="zh-CN"/>
        </w:rPr>
        <w:t>drx-ULRetransmissionTimer</w:t>
      </w:r>
      <w:proofErr w:type="spellEnd"/>
      <w:r w:rsidR="0098301D">
        <w:rPr>
          <w:lang w:val="en-GB" w:eastAsia="x-none"/>
        </w:rPr>
        <w:t xml:space="preserve">) for that HARQ process is expired. </w:t>
      </w:r>
      <w:r w:rsidR="006D0E12">
        <w:rPr>
          <w:lang w:val="en-GB" w:eastAsia="x-none"/>
        </w:rPr>
        <w:t>Currently</w:t>
      </w:r>
      <w:r w:rsidR="00CE14FA">
        <w:rPr>
          <w:lang w:val="en-GB" w:eastAsia="x-none"/>
        </w:rPr>
        <w:t>,</w:t>
      </w:r>
      <w:r w:rsidR="0098301D">
        <w:rPr>
          <w:lang w:val="en-GB" w:eastAsia="x-none"/>
        </w:rPr>
        <w:t xml:space="preserve"> if </w:t>
      </w:r>
      <w:r w:rsidR="008A6FBB">
        <w:rPr>
          <w:lang w:val="en-GB" w:eastAsia="x-none"/>
        </w:rPr>
        <w:t>MPDCCH does not indicate any</w:t>
      </w:r>
      <w:r w:rsidR="0098301D">
        <w:rPr>
          <w:lang w:val="en-GB" w:eastAsia="x-none"/>
        </w:rPr>
        <w:t xml:space="preserve"> UL grant for new transmission or retransmission for </w:t>
      </w:r>
      <w:r w:rsidR="006D0E12">
        <w:rPr>
          <w:lang w:val="en-GB" w:eastAsia="x-none"/>
        </w:rPr>
        <w:t>a</w:t>
      </w:r>
      <w:r w:rsidR="0098301D">
        <w:rPr>
          <w:lang w:val="en-GB" w:eastAsia="x-none"/>
        </w:rPr>
        <w:t xml:space="preserve"> HARQ process</w:t>
      </w:r>
      <w:r w:rsidR="006D0E12">
        <w:rPr>
          <w:lang w:val="en-GB" w:eastAsia="x-none"/>
        </w:rPr>
        <w:t>, UE cannot decide that the PUSCH transmission of that HARQ process is lost or reached the destination</w:t>
      </w:r>
      <w:r w:rsidR="0098301D">
        <w:rPr>
          <w:lang w:val="en-GB" w:eastAsia="x-none"/>
        </w:rPr>
        <w:t>.</w:t>
      </w:r>
    </w:p>
    <w:p w14:paraId="3864F76B" w14:textId="369824AE" w:rsidR="008A6FBB" w:rsidRDefault="0098301D" w:rsidP="008A6FBB">
      <w:pPr>
        <w:rPr>
          <w:lang w:val="en-GB"/>
        </w:rPr>
      </w:pPr>
      <w:r>
        <w:rPr>
          <w:lang w:val="en-GB" w:eastAsia="x-none"/>
        </w:rPr>
        <w:t>Therefore,</w:t>
      </w:r>
      <w:r w:rsidR="00E012FD">
        <w:rPr>
          <w:lang w:val="en-GB" w:eastAsia="x-none"/>
        </w:rPr>
        <w:t xml:space="preserve"> an explicit HARQ-</w:t>
      </w:r>
      <w:proofErr w:type="spellStart"/>
      <w:r w:rsidR="00E012FD">
        <w:rPr>
          <w:lang w:val="en-GB" w:eastAsia="x-none"/>
        </w:rPr>
        <w:t>ack</w:t>
      </w:r>
      <w:proofErr w:type="spellEnd"/>
      <w:r w:rsidR="00E012FD">
        <w:rPr>
          <w:lang w:val="en-GB" w:eastAsia="x-none"/>
        </w:rPr>
        <w:t xml:space="preserve"> can be introduced to indicate the end of transmission</w:t>
      </w:r>
      <w:r>
        <w:rPr>
          <w:lang w:val="en-GB" w:eastAsia="x-none"/>
        </w:rPr>
        <w:t xml:space="preserve"> if </w:t>
      </w:r>
      <w:proofErr w:type="spellStart"/>
      <w:r>
        <w:rPr>
          <w:lang w:val="en-GB" w:eastAsia="x-none"/>
        </w:rPr>
        <w:t>eNB</w:t>
      </w:r>
      <w:proofErr w:type="spellEnd"/>
      <w:r>
        <w:rPr>
          <w:lang w:val="en-GB" w:eastAsia="x-none"/>
        </w:rPr>
        <w:t xml:space="preserve"> has no further UL grant to provide for the HARQ process</w:t>
      </w:r>
      <w:r w:rsidR="007C02D0">
        <w:rPr>
          <w:lang w:val="en-GB" w:eastAsia="x-none"/>
        </w:rPr>
        <w:t>.</w:t>
      </w:r>
      <w:r>
        <w:rPr>
          <w:lang w:val="en-GB" w:eastAsia="x-none"/>
        </w:rPr>
        <w:t xml:space="preserve"> </w:t>
      </w:r>
      <w:r w:rsidR="008A6FBB">
        <w:rPr>
          <w:lang w:val="en-GB"/>
        </w:rPr>
        <w:t xml:space="preserve">Currently, BL UEs or UEs in CE need to wait 1.25 seconds it before it can </w:t>
      </w:r>
      <w:r w:rsidR="008A6FBB">
        <w:rPr>
          <w:lang w:val="en-GB"/>
        </w:rPr>
        <w:lastRenderedPageBreak/>
        <w:t xml:space="preserve">move to IDLE mode after the reception of RRC connection release message from </w:t>
      </w:r>
      <w:proofErr w:type="spellStart"/>
      <w:r w:rsidR="008A6FBB">
        <w:rPr>
          <w:lang w:val="en-GB"/>
        </w:rPr>
        <w:t>eNB</w:t>
      </w:r>
      <w:proofErr w:type="spellEnd"/>
      <w:r w:rsidR="008A6FBB">
        <w:rPr>
          <w:lang w:val="en-GB"/>
        </w:rPr>
        <w:t>. However, if lower layer can indicate that the reception of RRC connection release message has been successfully acknowledged, UE can move to IDLE mode immediately. For this purpose, UE can transmit the ACK for the RRC connection release message using PUSCH. If there is no explicit HARQ, UE cannot make sure the ACK has been successfully</w:t>
      </w:r>
      <w:r w:rsidR="006D0E12">
        <w:rPr>
          <w:lang w:val="en-GB"/>
        </w:rPr>
        <w:t xml:space="preserve"> transmitted in PUSCH, which would mean the lower layer cannot indicate the higher layer of the successful acknowledgement. Therefore, the explicit HARQ-</w:t>
      </w:r>
      <w:proofErr w:type="spellStart"/>
      <w:r w:rsidR="006D0E12">
        <w:rPr>
          <w:lang w:val="en-GB"/>
        </w:rPr>
        <w:t>ack</w:t>
      </w:r>
      <w:proofErr w:type="spellEnd"/>
      <w:r w:rsidR="006D0E12">
        <w:rPr>
          <w:lang w:val="en-GB"/>
        </w:rPr>
        <w:t xml:space="preserve"> feedback for PUSCH is beneficial only when acknowledging the reception of RRC connection release message.</w:t>
      </w:r>
    </w:p>
    <w:p w14:paraId="6D22B029" w14:textId="78E50EAC" w:rsidR="007C02D0" w:rsidRDefault="006D0E12" w:rsidP="006D0E12">
      <w:pPr>
        <w:pStyle w:val="Observationstyle"/>
        <w:rPr>
          <w:lang w:val="en-GB"/>
        </w:rPr>
      </w:pPr>
      <w:bookmarkStart w:id="3" w:name="_Toc489533485"/>
      <w:bookmarkStart w:id="4" w:name="_Toc489698105"/>
      <w:bookmarkStart w:id="5" w:name="_Toc490167470"/>
      <w:bookmarkStart w:id="6" w:name="_Toc490176748"/>
      <w:bookmarkStart w:id="7" w:name="_Toc490210919"/>
      <w:bookmarkStart w:id="8" w:name="_Toc490210946"/>
      <w:bookmarkStart w:id="9" w:name="_Toc490245169"/>
      <w:bookmarkStart w:id="10" w:name="_Toc490246586"/>
      <w:bookmarkStart w:id="11" w:name="_Toc490250265"/>
      <w:r>
        <w:rPr>
          <w:lang w:val="en-GB"/>
        </w:rPr>
        <w:t>Explicit UL HARQ-</w:t>
      </w:r>
      <w:proofErr w:type="spellStart"/>
      <w:r>
        <w:rPr>
          <w:lang w:val="en-GB"/>
        </w:rPr>
        <w:t>ack</w:t>
      </w:r>
      <w:proofErr w:type="spellEnd"/>
      <w:r>
        <w:rPr>
          <w:lang w:val="en-GB"/>
        </w:rPr>
        <w:t xml:space="preserve"> feedback is beneficial </w:t>
      </w:r>
      <w:r w:rsidR="007C02D0">
        <w:rPr>
          <w:lang w:val="en-GB"/>
        </w:rPr>
        <w:t>for</w:t>
      </w:r>
      <w:r>
        <w:rPr>
          <w:lang w:val="en-GB"/>
        </w:rPr>
        <w:t xml:space="preserve"> the acknowledgement of the reception of the RRC connection release message.</w:t>
      </w:r>
      <w:bookmarkEnd w:id="3"/>
      <w:bookmarkEnd w:id="4"/>
      <w:bookmarkEnd w:id="5"/>
      <w:bookmarkEnd w:id="6"/>
      <w:bookmarkEnd w:id="7"/>
      <w:bookmarkEnd w:id="8"/>
      <w:bookmarkEnd w:id="9"/>
      <w:bookmarkEnd w:id="10"/>
      <w:bookmarkEnd w:id="11"/>
    </w:p>
    <w:p w14:paraId="4CAA57C1" w14:textId="05510A45" w:rsidR="007C02D0" w:rsidRDefault="007C02D0" w:rsidP="007C02D0">
      <w:pPr>
        <w:rPr>
          <w:lang w:val="en-GB" w:eastAsia="x-none"/>
        </w:rPr>
      </w:pPr>
      <w:r w:rsidRPr="007C02D0">
        <w:rPr>
          <w:lang w:val="en-GB" w:eastAsia="x-none"/>
        </w:rPr>
        <w:t xml:space="preserve"> </w:t>
      </w:r>
      <w:r>
        <w:rPr>
          <w:lang w:val="en-GB" w:eastAsia="x-none"/>
        </w:rPr>
        <w:t>However, the consequence of explicit UL HARQ-</w:t>
      </w:r>
      <w:proofErr w:type="spellStart"/>
      <w:r>
        <w:rPr>
          <w:lang w:val="en-GB" w:eastAsia="x-none"/>
        </w:rPr>
        <w:t>ack</w:t>
      </w:r>
      <w:proofErr w:type="spellEnd"/>
      <w:r>
        <w:rPr>
          <w:lang w:val="en-GB" w:eastAsia="x-none"/>
        </w:rPr>
        <w:t xml:space="preserve"> is that it will consume more resource and UE has to receive more MPDCCH. Furthermore UE keeps monitoring PDCCH even after the reception of the UL HARQ-</w:t>
      </w:r>
      <w:proofErr w:type="spellStart"/>
      <w:r>
        <w:rPr>
          <w:lang w:val="en-GB" w:eastAsia="x-none"/>
        </w:rPr>
        <w:t>ack</w:t>
      </w:r>
      <w:proofErr w:type="spellEnd"/>
      <w:r>
        <w:rPr>
          <w:lang w:val="en-GB" w:eastAsia="x-none"/>
        </w:rPr>
        <w:t>, this does not provide gain if the explicit UL HARQ-</w:t>
      </w:r>
      <w:proofErr w:type="spellStart"/>
      <w:r>
        <w:rPr>
          <w:lang w:val="en-GB" w:eastAsia="x-none"/>
        </w:rPr>
        <w:t>ack</w:t>
      </w:r>
      <w:proofErr w:type="spellEnd"/>
      <w:r>
        <w:rPr>
          <w:lang w:val="en-GB" w:eastAsia="x-none"/>
        </w:rPr>
        <w:t xml:space="preserve"> is not for the last PUSCH transmission. </w:t>
      </w:r>
    </w:p>
    <w:p w14:paraId="3DF563BA" w14:textId="238277DE" w:rsidR="007C02D0" w:rsidRDefault="007C02D0" w:rsidP="007C02D0">
      <w:pPr>
        <w:pStyle w:val="Observationstyle"/>
        <w:rPr>
          <w:lang w:val="en-GB"/>
        </w:rPr>
      </w:pPr>
      <w:bookmarkStart w:id="12" w:name="_Toc489533484"/>
      <w:bookmarkStart w:id="13" w:name="_Toc489698104"/>
      <w:bookmarkStart w:id="14" w:name="_Toc490167469"/>
      <w:bookmarkStart w:id="15" w:name="_Toc490176749"/>
      <w:bookmarkStart w:id="16" w:name="_Toc490210920"/>
      <w:bookmarkStart w:id="17" w:name="_Toc490210947"/>
      <w:bookmarkStart w:id="18" w:name="_Toc490245170"/>
      <w:bookmarkStart w:id="19" w:name="_Toc490246587"/>
      <w:bookmarkStart w:id="20" w:name="_Toc490250266"/>
      <w:r>
        <w:rPr>
          <w:lang w:val="en-GB"/>
        </w:rPr>
        <w:t>Explicit UL HARQ-</w:t>
      </w:r>
      <w:proofErr w:type="spellStart"/>
      <w:r>
        <w:rPr>
          <w:lang w:val="en-GB"/>
        </w:rPr>
        <w:t>ack</w:t>
      </w:r>
      <w:proofErr w:type="spellEnd"/>
      <w:r>
        <w:rPr>
          <w:lang w:val="en-GB"/>
        </w:rPr>
        <w:t xml:space="preserve"> feedback does not provide gain if it is not for the last PUSCH transmission.</w:t>
      </w:r>
      <w:bookmarkEnd w:id="12"/>
      <w:bookmarkEnd w:id="13"/>
      <w:bookmarkEnd w:id="14"/>
      <w:bookmarkEnd w:id="15"/>
      <w:bookmarkEnd w:id="16"/>
      <w:bookmarkEnd w:id="17"/>
      <w:bookmarkEnd w:id="18"/>
      <w:bookmarkEnd w:id="19"/>
      <w:bookmarkEnd w:id="20"/>
    </w:p>
    <w:p w14:paraId="55F548D2" w14:textId="2696715A" w:rsidR="006D0E12" w:rsidRDefault="006D0E12" w:rsidP="006D0E12">
      <w:pPr>
        <w:pStyle w:val="Heading2"/>
      </w:pPr>
      <w:r>
        <w:t>Early termination signalling (ETS)</w:t>
      </w:r>
    </w:p>
    <w:p w14:paraId="63F37971" w14:textId="36093E3A" w:rsidR="006D0E12" w:rsidRDefault="006D0E12" w:rsidP="006D0E12">
      <w:pPr>
        <w:rPr>
          <w:lang w:val="en-GB"/>
        </w:rPr>
      </w:pPr>
      <w:r>
        <w:rPr>
          <w:lang w:val="en-GB"/>
        </w:rPr>
        <w:t xml:space="preserve">RAN1 </w:t>
      </w:r>
      <w:r w:rsidR="00A04F7C">
        <w:rPr>
          <w:lang w:val="en-GB"/>
        </w:rPr>
        <w:t xml:space="preserve">has </w:t>
      </w:r>
      <w:r>
        <w:rPr>
          <w:lang w:val="en-GB"/>
        </w:rPr>
        <w:t>already agreed that UL HARQ-</w:t>
      </w:r>
      <w:proofErr w:type="spellStart"/>
      <w:r>
        <w:rPr>
          <w:lang w:val="en-GB"/>
        </w:rPr>
        <w:t>ack</w:t>
      </w:r>
      <w:proofErr w:type="spellEnd"/>
      <w:r>
        <w:rPr>
          <w:lang w:val="en-GB"/>
        </w:rPr>
        <w:t xml:space="preserve"> feedback, if supported, is transmitted using MPDCCH</w:t>
      </w:r>
      <w:r w:rsidR="003219E4">
        <w:rPr>
          <w:lang w:val="en-GB"/>
        </w:rPr>
        <w:t>. I</w:t>
      </w:r>
      <w:r>
        <w:rPr>
          <w:lang w:val="en-GB"/>
        </w:rPr>
        <w:t xml:space="preserve">t can be used as an early termination signalling (ETS) of the PUSCH transmissions. </w:t>
      </w:r>
      <w:r w:rsidR="00A04F7C">
        <w:rPr>
          <w:lang w:val="en-GB"/>
        </w:rPr>
        <w:t>In addition to the</w:t>
      </w:r>
      <w:r>
        <w:rPr>
          <w:lang w:val="en-GB"/>
        </w:rPr>
        <w:t xml:space="preserve"> acknowledgement of the reception of the RRC connection release message, </w:t>
      </w:r>
      <w:r w:rsidR="003219E4">
        <w:rPr>
          <w:lang w:val="en-GB"/>
        </w:rPr>
        <w:t xml:space="preserve">it can save UE from transmitting some PUSCH repetitions if the </w:t>
      </w:r>
      <w:proofErr w:type="spellStart"/>
      <w:r w:rsidR="003219E4">
        <w:rPr>
          <w:lang w:val="en-GB"/>
        </w:rPr>
        <w:t>eNB</w:t>
      </w:r>
      <w:proofErr w:type="spellEnd"/>
      <w:r w:rsidR="003219E4">
        <w:rPr>
          <w:lang w:val="en-GB"/>
        </w:rPr>
        <w:t xml:space="preserve"> can receive the PUSCH transmission successfully early.</w:t>
      </w:r>
    </w:p>
    <w:p w14:paraId="329E32D4" w14:textId="05C4028D" w:rsidR="003219E4" w:rsidRDefault="003219E4" w:rsidP="003219E4">
      <w:pPr>
        <w:rPr>
          <w:lang w:val="en-GB"/>
        </w:rPr>
      </w:pPr>
      <w:r>
        <w:rPr>
          <w:lang w:val="en-GB"/>
        </w:rPr>
        <w:t>However, note that for FD-FDD, a UE can monitor the PDCCH while transmitting in PUSCH, there will be no latency impact of the ETS</w:t>
      </w:r>
      <w:r w:rsidR="00CA4BE6">
        <w:rPr>
          <w:lang w:val="en-GB"/>
        </w:rPr>
        <w:t xml:space="preserve"> in case of HARQ-</w:t>
      </w:r>
      <w:proofErr w:type="spellStart"/>
      <w:r w:rsidR="00CA4BE6">
        <w:rPr>
          <w:lang w:val="en-GB"/>
        </w:rPr>
        <w:t>nack</w:t>
      </w:r>
      <w:proofErr w:type="spellEnd"/>
      <w:r>
        <w:rPr>
          <w:lang w:val="en-GB"/>
        </w:rPr>
        <w:t>. In case of HD-FDD, UE would need a gap for the checking of ETS, there may be latency impact which will be prevailed by the benefit of the power saving</w:t>
      </w:r>
      <w:r w:rsidR="00A04F7C">
        <w:rPr>
          <w:lang w:val="en-GB"/>
        </w:rPr>
        <w:t xml:space="preserve"> as shown in [</w:t>
      </w:r>
      <w:r w:rsidR="00EA2F81">
        <w:rPr>
          <w:lang w:val="en-GB"/>
        </w:rPr>
        <w:t>3</w:t>
      </w:r>
      <w:r w:rsidR="00A04F7C">
        <w:rPr>
          <w:lang w:val="en-GB"/>
        </w:rPr>
        <w:t>]</w:t>
      </w:r>
      <w:r>
        <w:rPr>
          <w:lang w:val="en-GB"/>
        </w:rPr>
        <w:t>. An example of achieving the ETS is shown in figure 1.</w:t>
      </w:r>
    </w:p>
    <w:p w14:paraId="1890428E" w14:textId="0FE1C502" w:rsidR="003219E4" w:rsidRDefault="003219E4" w:rsidP="003219E4">
      <w:pPr>
        <w:keepNext/>
        <w:jc w:val="center"/>
      </w:pPr>
      <w:r>
        <w:rPr>
          <w:noProof/>
        </w:rPr>
        <w:drawing>
          <wp:inline distT="0" distB="0" distL="0" distR="0" wp14:anchorId="3CFFC5E2" wp14:editId="37333AA6">
            <wp:extent cx="3530843" cy="121105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8216" cy="1220439"/>
                    </a:xfrm>
                    <a:prstGeom prst="rect">
                      <a:avLst/>
                    </a:prstGeom>
                    <a:noFill/>
                    <a:ln>
                      <a:noFill/>
                    </a:ln>
                  </pic:spPr>
                </pic:pic>
              </a:graphicData>
            </a:graphic>
          </wp:inline>
        </w:drawing>
      </w:r>
    </w:p>
    <w:p w14:paraId="4B203ECE" w14:textId="4BA29ECF" w:rsidR="003219E4" w:rsidRDefault="003219E4" w:rsidP="003219E4">
      <w:pPr>
        <w:pStyle w:val="Caption"/>
        <w:jc w:val="center"/>
      </w:pPr>
      <w:r>
        <w:t xml:space="preserve">Figure </w:t>
      </w:r>
      <w:fldSimple w:instr=" SEQ Figure \* ARABIC ">
        <w:r>
          <w:rPr>
            <w:noProof/>
          </w:rPr>
          <w:t>1</w:t>
        </w:r>
      </w:fldSimple>
      <w:r>
        <w:t xml:space="preserve"> </w:t>
      </w:r>
      <w:r w:rsidRPr="008C104C">
        <w:t xml:space="preserve">PUSCH transmission with ETS based on compact DCI for HD-FDD (in upper figure) and FD-FDD (in lower figure). After the first 512 PUSCH repetitions, ETS monitoring occasions occur between every 128 PUSCH </w:t>
      </w:r>
      <w:proofErr w:type="spellStart"/>
      <w:r w:rsidRPr="008C104C">
        <w:t>subframes</w:t>
      </w:r>
      <w:proofErr w:type="spellEnd"/>
      <w:r w:rsidRPr="008C104C">
        <w:t xml:space="preserve"> in this example</w:t>
      </w:r>
      <w:r w:rsidR="00856474">
        <w:t xml:space="preserve"> [</w:t>
      </w:r>
      <w:r w:rsidR="00EA2F81">
        <w:t>3</w:t>
      </w:r>
      <w:r>
        <w:t>].</w:t>
      </w:r>
    </w:p>
    <w:p w14:paraId="4E776624" w14:textId="38B33EE5" w:rsidR="00A24EB3" w:rsidRDefault="00A24EB3" w:rsidP="00A24EB3">
      <w:pPr>
        <w:pStyle w:val="Caption"/>
        <w:keepNext/>
        <w:jc w:val="center"/>
      </w:pPr>
      <w:r>
        <w:t xml:space="preserve">Table </w:t>
      </w:r>
      <w:fldSimple w:instr=" SEQ Table \* ARABIC ">
        <w:r>
          <w:rPr>
            <w:noProof/>
          </w:rPr>
          <w:t>1</w:t>
        </w:r>
      </w:fldSimple>
      <w:r>
        <w:t xml:space="preserve"> Battery lifetime calculations for the case ETS is disabled and ETS is enabled. Power model</w:t>
      </w:r>
      <w:r w:rsidR="00856474">
        <w:t xml:space="preserve"> P1 (with </w:t>
      </w:r>
      <w:proofErr w:type="spellStart"/>
      <w:r w:rsidR="00856474">
        <w:t>P_deep_sleep</w:t>
      </w:r>
      <w:proofErr w:type="spellEnd"/>
      <w:r w:rsidR="00856474">
        <w:t xml:space="preserve"> 0.00454)</w:t>
      </w:r>
      <w:r>
        <w:t xml:space="preserve"> and Simul</w:t>
      </w:r>
      <w:r w:rsidR="00856474">
        <w:t>ation parameters are shown in [</w:t>
      </w:r>
      <w:r w:rsidR="00EA2F81">
        <w:t>4</w:t>
      </w:r>
      <w:r>
        <w:t>].</w:t>
      </w:r>
    </w:p>
    <w:tbl>
      <w:tblPr>
        <w:tblW w:w="8345" w:type="dxa"/>
        <w:jc w:val="center"/>
        <w:tblLook w:val="04A0" w:firstRow="1" w:lastRow="0" w:firstColumn="1" w:lastColumn="0" w:noHBand="0" w:noVBand="1"/>
      </w:tblPr>
      <w:tblGrid>
        <w:gridCol w:w="747"/>
        <w:gridCol w:w="1199"/>
        <w:gridCol w:w="1339"/>
        <w:gridCol w:w="1308"/>
        <w:gridCol w:w="1261"/>
        <w:gridCol w:w="1230"/>
        <w:gridCol w:w="1261"/>
      </w:tblGrid>
      <w:tr w:rsidR="00A24EB3" w:rsidRPr="00A24EB3" w14:paraId="6EE53ED4" w14:textId="77777777" w:rsidTr="0036217A">
        <w:trPr>
          <w:trHeight w:val="223"/>
          <w:jc w:val="center"/>
        </w:trPr>
        <w:tc>
          <w:tcPr>
            <w:tcW w:w="834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CFFE2" w14:textId="77777777" w:rsidR="00A24EB3" w:rsidRDefault="00A24EB3" w:rsidP="00A24EB3">
            <w:pPr>
              <w:overflowPunct/>
              <w:autoSpaceDE/>
              <w:autoSpaceDN/>
              <w:adjustRightInd/>
              <w:spacing w:after="0"/>
              <w:jc w:val="center"/>
              <w:rPr>
                <w:rFonts w:ascii="Calibri" w:eastAsia="Times New Roman" w:hAnsi="Calibri"/>
                <w:color w:val="000000"/>
                <w:sz w:val="22"/>
                <w:szCs w:val="22"/>
              </w:rPr>
            </w:pPr>
            <w:r>
              <w:rPr>
                <w:rFonts w:ascii="Calibri" w:eastAsia="Times New Roman" w:hAnsi="Calibri"/>
                <w:color w:val="000000"/>
                <w:sz w:val="22"/>
                <w:szCs w:val="22"/>
              </w:rPr>
              <w:t>Battery lifetime in Months</w:t>
            </w:r>
          </w:p>
          <w:p w14:paraId="3CC8655C" w14:textId="4CF486E9" w:rsidR="00A24EB3" w:rsidRPr="00A24EB3" w:rsidRDefault="006C4842" w:rsidP="00A24EB3">
            <w:pPr>
              <w:overflowPunct/>
              <w:autoSpaceDE/>
              <w:autoSpaceDN/>
              <w:adjustRightInd/>
              <w:spacing w:after="0"/>
              <w:jc w:val="center"/>
              <w:rPr>
                <w:rFonts w:ascii="Calibri" w:eastAsia="Times New Roman" w:hAnsi="Calibri"/>
                <w:color w:val="000000"/>
                <w:sz w:val="22"/>
                <w:szCs w:val="22"/>
              </w:rPr>
            </w:pPr>
            <w:r>
              <w:rPr>
                <w:rFonts w:ascii="Calibri" w:eastAsia="Times New Roman" w:hAnsi="Calibri"/>
                <w:color w:val="000000"/>
                <w:sz w:val="22"/>
                <w:szCs w:val="22"/>
              </w:rPr>
              <w:t xml:space="preserve">1.4 MHz </w:t>
            </w:r>
            <w:r w:rsidR="00943ACE">
              <w:rPr>
                <w:rFonts w:ascii="Calibri" w:eastAsia="Times New Roman" w:hAnsi="Calibri"/>
                <w:color w:val="000000"/>
                <w:sz w:val="22"/>
                <w:szCs w:val="22"/>
              </w:rPr>
              <w:t xml:space="preserve">HD-FDD, </w:t>
            </w:r>
            <w:r w:rsidR="00A24EB3">
              <w:rPr>
                <w:rFonts w:ascii="Calibri" w:eastAsia="Times New Roman" w:hAnsi="Calibri"/>
                <w:color w:val="000000"/>
                <w:sz w:val="22"/>
                <w:szCs w:val="22"/>
              </w:rPr>
              <w:t xml:space="preserve">220 bytes of UL data every 2 Hour </w:t>
            </w:r>
          </w:p>
        </w:tc>
      </w:tr>
      <w:tr w:rsidR="00A24EB3" w:rsidRPr="00A24EB3" w14:paraId="128C3D2F" w14:textId="77777777" w:rsidTr="00A24EB3">
        <w:trPr>
          <w:trHeight w:val="223"/>
          <w:jc w:val="center"/>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14:paraId="6BA844FF"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r w:rsidRPr="00A24EB3">
              <w:rPr>
                <w:rFonts w:ascii="Calibri" w:eastAsia="Times New Roman" w:hAnsi="Calibri"/>
                <w:color w:val="000000"/>
                <w:sz w:val="22"/>
                <w:szCs w:val="22"/>
              </w:rPr>
              <w:t> </w:t>
            </w:r>
          </w:p>
        </w:tc>
        <w:tc>
          <w:tcPr>
            <w:tcW w:w="11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6BDFC0" w14:textId="77777777" w:rsidR="00A24EB3" w:rsidRPr="00A24EB3" w:rsidRDefault="00A24EB3" w:rsidP="00A24EB3">
            <w:pPr>
              <w:overflowPunct/>
              <w:autoSpaceDE/>
              <w:autoSpaceDN/>
              <w:adjustRightInd/>
              <w:spacing w:after="0"/>
              <w:jc w:val="center"/>
              <w:rPr>
                <w:rFonts w:ascii="Calibri" w:eastAsia="Times New Roman" w:hAnsi="Calibri"/>
                <w:color w:val="000000"/>
                <w:sz w:val="22"/>
                <w:szCs w:val="22"/>
              </w:rPr>
            </w:pPr>
            <w:r w:rsidRPr="00A24EB3">
              <w:rPr>
                <w:rFonts w:ascii="Calibri" w:eastAsia="Times New Roman" w:hAnsi="Calibri"/>
                <w:color w:val="000000"/>
                <w:sz w:val="22"/>
                <w:szCs w:val="22"/>
              </w:rPr>
              <w:t>ETS disabled</w:t>
            </w:r>
          </w:p>
        </w:tc>
        <w:tc>
          <w:tcPr>
            <w:tcW w:w="1339" w:type="dxa"/>
            <w:vMerge w:val="restart"/>
            <w:tcBorders>
              <w:top w:val="nil"/>
              <w:left w:val="single" w:sz="4" w:space="0" w:color="auto"/>
              <w:bottom w:val="single" w:sz="4" w:space="0" w:color="000000"/>
              <w:right w:val="single" w:sz="4" w:space="0" w:color="auto"/>
            </w:tcBorders>
            <w:shd w:val="clear" w:color="auto" w:fill="auto"/>
            <w:vAlign w:val="center"/>
            <w:hideMark/>
          </w:tcPr>
          <w:p w14:paraId="12739EFF" w14:textId="1BA0F36D" w:rsidR="00A24EB3" w:rsidRPr="00A24EB3" w:rsidRDefault="00A24EB3" w:rsidP="00A24EB3">
            <w:pPr>
              <w:overflowPunct/>
              <w:autoSpaceDE/>
              <w:autoSpaceDN/>
              <w:adjustRightInd/>
              <w:spacing w:after="0"/>
              <w:jc w:val="center"/>
              <w:rPr>
                <w:rFonts w:ascii="Calibri" w:eastAsia="Times New Roman" w:hAnsi="Calibri"/>
                <w:color w:val="000000"/>
                <w:sz w:val="22"/>
                <w:szCs w:val="22"/>
              </w:rPr>
            </w:pPr>
            <w:r>
              <w:rPr>
                <w:rFonts w:ascii="Calibri" w:eastAsia="Times New Roman" w:hAnsi="Calibri"/>
                <w:color w:val="000000"/>
                <w:sz w:val="22"/>
                <w:szCs w:val="22"/>
              </w:rPr>
              <w:t xml:space="preserve">ETS detected after </w:t>
            </w:r>
            <w:r w:rsidRPr="00A24EB3">
              <w:rPr>
                <w:rFonts w:ascii="Calibri" w:eastAsia="Times New Roman" w:hAnsi="Calibri"/>
                <w:color w:val="000000"/>
                <w:sz w:val="22"/>
                <w:szCs w:val="22"/>
              </w:rPr>
              <w:t>90% repetitions</w:t>
            </w:r>
            <w:r w:rsidRPr="00A24EB3">
              <w:rPr>
                <w:rFonts w:ascii="Calibri" w:eastAsia="Times New Roman" w:hAnsi="Calibri"/>
                <w:color w:val="000000"/>
                <w:sz w:val="22"/>
                <w:szCs w:val="22"/>
              </w:rPr>
              <w:br/>
              <w:t>of PUSCH</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78A752BB" w14:textId="1A4F65AF" w:rsidR="00A24EB3" w:rsidRPr="00A24EB3" w:rsidRDefault="00A24EB3" w:rsidP="00A24EB3">
            <w:pPr>
              <w:overflowPunct/>
              <w:autoSpaceDE/>
              <w:autoSpaceDN/>
              <w:adjustRightInd/>
              <w:spacing w:after="0"/>
              <w:jc w:val="center"/>
              <w:rPr>
                <w:rFonts w:ascii="Calibri" w:eastAsia="Times New Roman" w:hAnsi="Calibri"/>
                <w:color w:val="000000"/>
                <w:sz w:val="22"/>
                <w:szCs w:val="22"/>
              </w:rPr>
            </w:pPr>
            <w:r>
              <w:rPr>
                <w:rFonts w:ascii="Calibri" w:eastAsia="Times New Roman" w:hAnsi="Calibri"/>
                <w:color w:val="000000"/>
                <w:sz w:val="22"/>
                <w:szCs w:val="22"/>
              </w:rPr>
              <w:t xml:space="preserve">ETS detected after </w:t>
            </w:r>
            <w:r w:rsidRPr="00A24EB3">
              <w:rPr>
                <w:rFonts w:ascii="Calibri" w:eastAsia="Times New Roman" w:hAnsi="Calibri"/>
                <w:color w:val="000000"/>
                <w:sz w:val="22"/>
                <w:szCs w:val="22"/>
              </w:rPr>
              <w:t>85% repetitions</w:t>
            </w:r>
            <w:r w:rsidRPr="00A24EB3">
              <w:rPr>
                <w:rFonts w:ascii="Calibri" w:eastAsia="Times New Roman" w:hAnsi="Calibri"/>
                <w:color w:val="000000"/>
                <w:sz w:val="22"/>
                <w:szCs w:val="22"/>
              </w:rPr>
              <w:br/>
              <w:t>of PUSCH</w:t>
            </w:r>
          </w:p>
        </w:tc>
        <w:tc>
          <w:tcPr>
            <w:tcW w:w="1261" w:type="dxa"/>
            <w:vMerge w:val="restart"/>
            <w:tcBorders>
              <w:top w:val="nil"/>
              <w:left w:val="single" w:sz="4" w:space="0" w:color="auto"/>
              <w:bottom w:val="single" w:sz="4" w:space="0" w:color="000000"/>
              <w:right w:val="single" w:sz="4" w:space="0" w:color="auto"/>
            </w:tcBorders>
            <w:shd w:val="clear" w:color="auto" w:fill="auto"/>
            <w:vAlign w:val="center"/>
            <w:hideMark/>
          </w:tcPr>
          <w:p w14:paraId="461DD5AE" w14:textId="72FCA012" w:rsidR="00A24EB3" w:rsidRPr="00A24EB3" w:rsidRDefault="00A24EB3" w:rsidP="00A24EB3">
            <w:pPr>
              <w:overflowPunct/>
              <w:autoSpaceDE/>
              <w:autoSpaceDN/>
              <w:adjustRightInd/>
              <w:spacing w:after="0"/>
              <w:jc w:val="center"/>
              <w:rPr>
                <w:rFonts w:ascii="Calibri" w:eastAsia="Times New Roman" w:hAnsi="Calibri"/>
                <w:color w:val="000000"/>
                <w:sz w:val="22"/>
                <w:szCs w:val="22"/>
              </w:rPr>
            </w:pPr>
            <w:r>
              <w:rPr>
                <w:rFonts w:ascii="Calibri" w:eastAsia="Times New Roman" w:hAnsi="Calibri"/>
                <w:color w:val="000000"/>
                <w:sz w:val="22"/>
                <w:szCs w:val="22"/>
              </w:rPr>
              <w:t xml:space="preserve">ETS detected after </w:t>
            </w:r>
            <w:r w:rsidRPr="00A24EB3">
              <w:rPr>
                <w:rFonts w:ascii="Calibri" w:eastAsia="Times New Roman" w:hAnsi="Calibri"/>
                <w:color w:val="000000"/>
                <w:sz w:val="22"/>
                <w:szCs w:val="22"/>
              </w:rPr>
              <w:t>80% repetitions</w:t>
            </w:r>
            <w:r w:rsidRPr="00A24EB3">
              <w:rPr>
                <w:rFonts w:ascii="Calibri" w:eastAsia="Times New Roman" w:hAnsi="Calibri"/>
                <w:color w:val="000000"/>
                <w:sz w:val="22"/>
                <w:szCs w:val="22"/>
              </w:rPr>
              <w:br/>
              <w:t>of PUSCH</w:t>
            </w:r>
          </w:p>
        </w:tc>
        <w:tc>
          <w:tcPr>
            <w:tcW w:w="1230" w:type="dxa"/>
            <w:vMerge w:val="restart"/>
            <w:tcBorders>
              <w:top w:val="nil"/>
              <w:left w:val="single" w:sz="4" w:space="0" w:color="auto"/>
              <w:bottom w:val="single" w:sz="4" w:space="0" w:color="000000"/>
              <w:right w:val="single" w:sz="4" w:space="0" w:color="auto"/>
            </w:tcBorders>
            <w:shd w:val="clear" w:color="auto" w:fill="auto"/>
            <w:vAlign w:val="center"/>
            <w:hideMark/>
          </w:tcPr>
          <w:p w14:paraId="019B56E5" w14:textId="6095C6E7" w:rsidR="00A24EB3" w:rsidRPr="00A24EB3" w:rsidRDefault="00A24EB3" w:rsidP="00A24EB3">
            <w:pPr>
              <w:overflowPunct/>
              <w:autoSpaceDE/>
              <w:autoSpaceDN/>
              <w:adjustRightInd/>
              <w:spacing w:after="0"/>
              <w:jc w:val="center"/>
              <w:rPr>
                <w:rFonts w:ascii="Calibri" w:eastAsia="Times New Roman" w:hAnsi="Calibri"/>
                <w:color w:val="000000"/>
                <w:sz w:val="22"/>
                <w:szCs w:val="22"/>
              </w:rPr>
            </w:pPr>
            <w:r>
              <w:rPr>
                <w:rFonts w:ascii="Calibri" w:eastAsia="Times New Roman" w:hAnsi="Calibri"/>
                <w:color w:val="000000"/>
                <w:sz w:val="22"/>
                <w:szCs w:val="22"/>
              </w:rPr>
              <w:t xml:space="preserve">ETS detected after </w:t>
            </w:r>
            <w:r w:rsidRPr="00A24EB3">
              <w:rPr>
                <w:rFonts w:ascii="Calibri" w:eastAsia="Times New Roman" w:hAnsi="Calibri"/>
                <w:color w:val="000000"/>
                <w:sz w:val="22"/>
                <w:szCs w:val="22"/>
              </w:rPr>
              <w:t>70% repetitions</w:t>
            </w:r>
            <w:r w:rsidRPr="00A24EB3">
              <w:rPr>
                <w:rFonts w:ascii="Calibri" w:eastAsia="Times New Roman" w:hAnsi="Calibri"/>
                <w:color w:val="000000"/>
                <w:sz w:val="22"/>
                <w:szCs w:val="22"/>
              </w:rPr>
              <w:br/>
              <w:t>of PUSCH</w:t>
            </w:r>
          </w:p>
        </w:tc>
        <w:tc>
          <w:tcPr>
            <w:tcW w:w="1261" w:type="dxa"/>
            <w:vMerge w:val="restart"/>
            <w:tcBorders>
              <w:top w:val="nil"/>
              <w:left w:val="single" w:sz="4" w:space="0" w:color="auto"/>
              <w:bottom w:val="single" w:sz="4" w:space="0" w:color="000000"/>
              <w:right w:val="single" w:sz="4" w:space="0" w:color="auto"/>
            </w:tcBorders>
            <w:shd w:val="clear" w:color="auto" w:fill="auto"/>
            <w:vAlign w:val="center"/>
            <w:hideMark/>
          </w:tcPr>
          <w:p w14:paraId="3F614B22" w14:textId="6CFC6934" w:rsidR="00A24EB3" w:rsidRPr="00A24EB3" w:rsidRDefault="00A24EB3" w:rsidP="00A24EB3">
            <w:pPr>
              <w:overflowPunct/>
              <w:autoSpaceDE/>
              <w:autoSpaceDN/>
              <w:adjustRightInd/>
              <w:spacing w:after="0"/>
              <w:jc w:val="center"/>
              <w:rPr>
                <w:rFonts w:ascii="Calibri" w:eastAsia="Times New Roman" w:hAnsi="Calibri"/>
                <w:color w:val="000000"/>
                <w:sz w:val="22"/>
                <w:szCs w:val="22"/>
              </w:rPr>
            </w:pPr>
            <w:r>
              <w:rPr>
                <w:rFonts w:ascii="Calibri" w:eastAsia="Times New Roman" w:hAnsi="Calibri"/>
                <w:color w:val="000000"/>
                <w:sz w:val="22"/>
                <w:szCs w:val="22"/>
              </w:rPr>
              <w:t xml:space="preserve">ETS detected after </w:t>
            </w:r>
            <w:r w:rsidRPr="00A24EB3">
              <w:rPr>
                <w:rFonts w:ascii="Calibri" w:eastAsia="Times New Roman" w:hAnsi="Calibri"/>
                <w:color w:val="000000"/>
                <w:sz w:val="22"/>
                <w:szCs w:val="22"/>
              </w:rPr>
              <w:t>60% repetitions</w:t>
            </w:r>
            <w:r w:rsidRPr="00A24EB3">
              <w:rPr>
                <w:rFonts w:ascii="Calibri" w:eastAsia="Times New Roman" w:hAnsi="Calibri"/>
                <w:color w:val="000000"/>
                <w:sz w:val="22"/>
                <w:szCs w:val="22"/>
              </w:rPr>
              <w:br/>
              <w:t>of PUSCH</w:t>
            </w:r>
          </w:p>
        </w:tc>
      </w:tr>
      <w:tr w:rsidR="00A24EB3" w:rsidRPr="00A24EB3" w14:paraId="07CEDC80" w14:textId="77777777" w:rsidTr="00A24EB3">
        <w:trPr>
          <w:trHeight w:val="223"/>
          <w:jc w:val="center"/>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14:paraId="2913ED3F" w14:textId="3699899B" w:rsidR="00A24EB3" w:rsidRPr="00A24EB3" w:rsidRDefault="00A24EB3" w:rsidP="00A24EB3">
            <w:pPr>
              <w:overflowPunct/>
              <w:autoSpaceDE/>
              <w:autoSpaceDN/>
              <w:adjustRightInd/>
              <w:spacing w:after="0"/>
              <w:rPr>
                <w:rFonts w:ascii="Calibri" w:eastAsia="Times New Roman" w:hAnsi="Calibri"/>
                <w:color w:val="000000"/>
                <w:sz w:val="22"/>
                <w:szCs w:val="22"/>
              </w:rPr>
            </w:pPr>
            <w:r w:rsidRPr="00A24EB3">
              <w:rPr>
                <w:rFonts w:ascii="Calibri" w:eastAsia="Times New Roman" w:hAnsi="Calibri"/>
                <w:color w:val="000000"/>
                <w:sz w:val="22"/>
                <w:szCs w:val="22"/>
              </w:rPr>
              <w:t> </w:t>
            </w:r>
            <w:r>
              <w:rPr>
                <w:rFonts w:ascii="Calibri" w:eastAsia="Times New Roman" w:hAnsi="Calibri"/>
                <w:color w:val="000000"/>
                <w:sz w:val="22"/>
                <w:szCs w:val="22"/>
              </w:rPr>
              <w:t>CE level gain</w:t>
            </w:r>
          </w:p>
        </w:tc>
        <w:tc>
          <w:tcPr>
            <w:tcW w:w="1199" w:type="dxa"/>
            <w:vMerge/>
            <w:tcBorders>
              <w:top w:val="nil"/>
              <w:left w:val="single" w:sz="4" w:space="0" w:color="auto"/>
              <w:bottom w:val="single" w:sz="4" w:space="0" w:color="000000"/>
              <w:right w:val="single" w:sz="4" w:space="0" w:color="auto"/>
            </w:tcBorders>
            <w:vAlign w:val="center"/>
            <w:hideMark/>
          </w:tcPr>
          <w:p w14:paraId="7C815410"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p>
        </w:tc>
        <w:tc>
          <w:tcPr>
            <w:tcW w:w="1339" w:type="dxa"/>
            <w:vMerge/>
            <w:tcBorders>
              <w:top w:val="nil"/>
              <w:left w:val="single" w:sz="4" w:space="0" w:color="auto"/>
              <w:bottom w:val="single" w:sz="4" w:space="0" w:color="000000"/>
              <w:right w:val="single" w:sz="4" w:space="0" w:color="auto"/>
            </w:tcBorders>
            <w:vAlign w:val="center"/>
            <w:hideMark/>
          </w:tcPr>
          <w:p w14:paraId="0882E346"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p>
        </w:tc>
        <w:tc>
          <w:tcPr>
            <w:tcW w:w="1308" w:type="dxa"/>
            <w:vMerge/>
            <w:tcBorders>
              <w:top w:val="nil"/>
              <w:left w:val="single" w:sz="4" w:space="0" w:color="auto"/>
              <w:bottom w:val="single" w:sz="4" w:space="0" w:color="000000"/>
              <w:right w:val="single" w:sz="4" w:space="0" w:color="auto"/>
            </w:tcBorders>
            <w:vAlign w:val="center"/>
            <w:hideMark/>
          </w:tcPr>
          <w:p w14:paraId="2055B8D7"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p>
        </w:tc>
        <w:tc>
          <w:tcPr>
            <w:tcW w:w="1261" w:type="dxa"/>
            <w:vMerge/>
            <w:tcBorders>
              <w:top w:val="nil"/>
              <w:left w:val="single" w:sz="4" w:space="0" w:color="auto"/>
              <w:bottom w:val="single" w:sz="4" w:space="0" w:color="000000"/>
              <w:right w:val="single" w:sz="4" w:space="0" w:color="auto"/>
            </w:tcBorders>
            <w:vAlign w:val="center"/>
            <w:hideMark/>
          </w:tcPr>
          <w:p w14:paraId="13A0E3BA"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p>
        </w:tc>
        <w:tc>
          <w:tcPr>
            <w:tcW w:w="1230" w:type="dxa"/>
            <w:vMerge/>
            <w:tcBorders>
              <w:top w:val="nil"/>
              <w:left w:val="single" w:sz="4" w:space="0" w:color="auto"/>
              <w:bottom w:val="single" w:sz="4" w:space="0" w:color="000000"/>
              <w:right w:val="single" w:sz="4" w:space="0" w:color="auto"/>
            </w:tcBorders>
            <w:vAlign w:val="center"/>
            <w:hideMark/>
          </w:tcPr>
          <w:p w14:paraId="1E4D2553"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p>
        </w:tc>
        <w:tc>
          <w:tcPr>
            <w:tcW w:w="1261" w:type="dxa"/>
            <w:vMerge/>
            <w:tcBorders>
              <w:top w:val="nil"/>
              <w:left w:val="single" w:sz="4" w:space="0" w:color="auto"/>
              <w:bottom w:val="single" w:sz="4" w:space="0" w:color="000000"/>
              <w:right w:val="single" w:sz="4" w:space="0" w:color="auto"/>
            </w:tcBorders>
            <w:vAlign w:val="center"/>
            <w:hideMark/>
          </w:tcPr>
          <w:p w14:paraId="109D90F6"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p>
        </w:tc>
      </w:tr>
      <w:tr w:rsidR="00A24EB3" w:rsidRPr="00A24EB3" w14:paraId="365AD44B" w14:textId="77777777" w:rsidTr="00A24EB3">
        <w:trPr>
          <w:trHeight w:val="223"/>
          <w:jc w:val="center"/>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14:paraId="25EDD7A5"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r w:rsidRPr="00A24EB3">
              <w:rPr>
                <w:rFonts w:ascii="Calibri" w:eastAsia="Times New Roman" w:hAnsi="Calibri"/>
                <w:color w:val="000000"/>
                <w:sz w:val="22"/>
                <w:szCs w:val="22"/>
              </w:rPr>
              <w:t>5 dB</w:t>
            </w:r>
          </w:p>
        </w:tc>
        <w:tc>
          <w:tcPr>
            <w:tcW w:w="1199" w:type="dxa"/>
            <w:tcBorders>
              <w:top w:val="nil"/>
              <w:left w:val="nil"/>
              <w:bottom w:val="single" w:sz="4" w:space="0" w:color="auto"/>
              <w:right w:val="single" w:sz="4" w:space="0" w:color="auto"/>
            </w:tcBorders>
            <w:shd w:val="clear" w:color="auto" w:fill="auto"/>
            <w:noWrap/>
            <w:vAlign w:val="bottom"/>
            <w:hideMark/>
          </w:tcPr>
          <w:p w14:paraId="307690CF"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146.81</w:t>
            </w:r>
          </w:p>
        </w:tc>
        <w:tc>
          <w:tcPr>
            <w:tcW w:w="1339" w:type="dxa"/>
            <w:tcBorders>
              <w:top w:val="nil"/>
              <w:left w:val="nil"/>
              <w:bottom w:val="single" w:sz="4" w:space="0" w:color="auto"/>
              <w:right w:val="single" w:sz="4" w:space="0" w:color="auto"/>
            </w:tcBorders>
            <w:shd w:val="clear" w:color="auto" w:fill="auto"/>
            <w:noWrap/>
            <w:vAlign w:val="bottom"/>
            <w:hideMark/>
          </w:tcPr>
          <w:p w14:paraId="4F9E340F"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145.37</w:t>
            </w:r>
          </w:p>
        </w:tc>
        <w:tc>
          <w:tcPr>
            <w:tcW w:w="1308" w:type="dxa"/>
            <w:tcBorders>
              <w:top w:val="nil"/>
              <w:left w:val="nil"/>
              <w:bottom w:val="single" w:sz="4" w:space="0" w:color="auto"/>
              <w:right w:val="single" w:sz="4" w:space="0" w:color="auto"/>
            </w:tcBorders>
            <w:shd w:val="clear" w:color="000000" w:fill="C4D79B"/>
            <w:noWrap/>
            <w:vAlign w:val="bottom"/>
            <w:hideMark/>
          </w:tcPr>
          <w:p w14:paraId="033FFBA5"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146.31</w:t>
            </w:r>
          </w:p>
        </w:tc>
        <w:tc>
          <w:tcPr>
            <w:tcW w:w="1261" w:type="dxa"/>
            <w:tcBorders>
              <w:top w:val="nil"/>
              <w:left w:val="nil"/>
              <w:bottom w:val="single" w:sz="4" w:space="0" w:color="auto"/>
              <w:right w:val="single" w:sz="4" w:space="0" w:color="auto"/>
            </w:tcBorders>
            <w:shd w:val="clear" w:color="000000" w:fill="C4D79B"/>
            <w:noWrap/>
            <w:vAlign w:val="bottom"/>
            <w:hideMark/>
          </w:tcPr>
          <w:p w14:paraId="48A59466"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148.23</w:t>
            </w:r>
          </w:p>
        </w:tc>
        <w:tc>
          <w:tcPr>
            <w:tcW w:w="1230" w:type="dxa"/>
            <w:tcBorders>
              <w:top w:val="nil"/>
              <w:left w:val="nil"/>
              <w:bottom w:val="single" w:sz="4" w:space="0" w:color="auto"/>
              <w:right w:val="single" w:sz="4" w:space="0" w:color="auto"/>
            </w:tcBorders>
            <w:shd w:val="clear" w:color="000000" w:fill="C4D79B"/>
            <w:noWrap/>
            <w:vAlign w:val="bottom"/>
            <w:hideMark/>
          </w:tcPr>
          <w:p w14:paraId="133AF463"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151.96</w:t>
            </w:r>
          </w:p>
        </w:tc>
        <w:tc>
          <w:tcPr>
            <w:tcW w:w="1261" w:type="dxa"/>
            <w:tcBorders>
              <w:top w:val="nil"/>
              <w:left w:val="nil"/>
              <w:bottom w:val="single" w:sz="4" w:space="0" w:color="auto"/>
              <w:right w:val="single" w:sz="4" w:space="0" w:color="auto"/>
            </w:tcBorders>
            <w:shd w:val="clear" w:color="000000" w:fill="C4D79B"/>
            <w:noWrap/>
            <w:vAlign w:val="bottom"/>
            <w:hideMark/>
          </w:tcPr>
          <w:p w14:paraId="57BE3096"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155.09</w:t>
            </w:r>
          </w:p>
        </w:tc>
      </w:tr>
      <w:tr w:rsidR="00A24EB3" w:rsidRPr="00A24EB3" w14:paraId="0B410031" w14:textId="77777777" w:rsidTr="00A24EB3">
        <w:trPr>
          <w:trHeight w:val="223"/>
          <w:jc w:val="center"/>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14:paraId="558F0701"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r w:rsidRPr="00A24EB3">
              <w:rPr>
                <w:rFonts w:ascii="Calibri" w:eastAsia="Times New Roman" w:hAnsi="Calibri"/>
                <w:color w:val="000000"/>
                <w:sz w:val="22"/>
                <w:szCs w:val="22"/>
              </w:rPr>
              <w:t>10 dB</w:t>
            </w:r>
          </w:p>
        </w:tc>
        <w:tc>
          <w:tcPr>
            <w:tcW w:w="1199" w:type="dxa"/>
            <w:tcBorders>
              <w:top w:val="nil"/>
              <w:left w:val="nil"/>
              <w:bottom w:val="single" w:sz="4" w:space="0" w:color="auto"/>
              <w:right w:val="single" w:sz="4" w:space="0" w:color="auto"/>
            </w:tcBorders>
            <w:shd w:val="clear" w:color="auto" w:fill="auto"/>
            <w:noWrap/>
            <w:vAlign w:val="bottom"/>
            <w:hideMark/>
          </w:tcPr>
          <w:p w14:paraId="6B0C8F52"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72.87</w:t>
            </w:r>
          </w:p>
        </w:tc>
        <w:tc>
          <w:tcPr>
            <w:tcW w:w="1339" w:type="dxa"/>
            <w:tcBorders>
              <w:top w:val="nil"/>
              <w:left w:val="nil"/>
              <w:bottom w:val="single" w:sz="4" w:space="0" w:color="auto"/>
              <w:right w:val="single" w:sz="4" w:space="0" w:color="auto"/>
            </w:tcBorders>
            <w:shd w:val="clear" w:color="000000" w:fill="C4D79B"/>
            <w:noWrap/>
            <w:vAlign w:val="bottom"/>
            <w:hideMark/>
          </w:tcPr>
          <w:p w14:paraId="5BE33473"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72.62</w:t>
            </w:r>
          </w:p>
        </w:tc>
        <w:tc>
          <w:tcPr>
            <w:tcW w:w="1308" w:type="dxa"/>
            <w:tcBorders>
              <w:top w:val="nil"/>
              <w:left w:val="nil"/>
              <w:bottom w:val="single" w:sz="4" w:space="0" w:color="auto"/>
              <w:right w:val="single" w:sz="4" w:space="0" w:color="auto"/>
            </w:tcBorders>
            <w:shd w:val="clear" w:color="000000" w:fill="C4D79B"/>
            <w:noWrap/>
            <w:vAlign w:val="bottom"/>
            <w:hideMark/>
          </w:tcPr>
          <w:p w14:paraId="365FFCC4"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74.26</w:t>
            </w:r>
          </w:p>
        </w:tc>
        <w:tc>
          <w:tcPr>
            <w:tcW w:w="1261" w:type="dxa"/>
            <w:tcBorders>
              <w:top w:val="nil"/>
              <w:left w:val="nil"/>
              <w:bottom w:val="single" w:sz="4" w:space="0" w:color="auto"/>
              <w:right w:val="single" w:sz="4" w:space="0" w:color="auto"/>
            </w:tcBorders>
            <w:shd w:val="clear" w:color="000000" w:fill="C4D79B"/>
            <w:noWrap/>
            <w:vAlign w:val="bottom"/>
            <w:hideMark/>
          </w:tcPr>
          <w:p w14:paraId="1B70AEA4"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75.94</w:t>
            </w:r>
          </w:p>
        </w:tc>
        <w:tc>
          <w:tcPr>
            <w:tcW w:w="1230" w:type="dxa"/>
            <w:tcBorders>
              <w:top w:val="nil"/>
              <w:left w:val="nil"/>
              <w:bottom w:val="single" w:sz="4" w:space="0" w:color="auto"/>
              <w:right w:val="single" w:sz="4" w:space="0" w:color="auto"/>
            </w:tcBorders>
            <w:shd w:val="clear" w:color="000000" w:fill="C4D79B"/>
            <w:noWrap/>
            <w:vAlign w:val="bottom"/>
            <w:hideMark/>
          </w:tcPr>
          <w:p w14:paraId="4CE88F56"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79.37</w:t>
            </w:r>
          </w:p>
        </w:tc>
        <w:tc>
          <w:tcPr>
            <w:tcW w:w="1261" w:type="dxa"/>
            <w:tcBorders>
              <w:top w:val="nil"/>
              <w:left w:val="nil"/>
              <w:bottom w:val="single" w:sz="4" w:space="0" w:color="auto"/>
              <w:right w:val="single" w:sz="4" w:space="0" w:color="auto"/>
            </w:tcBorders>
            <w:shd w:val="clear" w:color="000000" w:fill="C4D79B"/>
            <w:noWrap/>
            <w:vAlign w:val="bottom"/>
            <w:hideMark/>
          </w:tcPr>
          <w:p w14:paraId="10CFB435"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83.43</w:t>
            </w:r>
          </w:p>
        </w:tc>
      </w:tr>
      <w:tr w:rsidR="00A24EB3" w:rsidRPr="00A24EB3" w14:paraId="35F3B514" w14:textId="77777777" w:rsidTr="00A24EB3">
        <w:trPr>
          <w:trHeight w:val="223"/>
          <w:jc w:val="center"/>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14:paraId="57B10E59" w14:textId="77777777" w:rsidR="00A24EB3" w:rsidRPr="00A24EB3" w:rsidRDefault="00A24EB3" w:rsidP="00A24EB3">
            <w:pPr>
              <w:overflowPunct/>
              <w:autoSpaceDE/>
              <w:autoSpaceDN/>
              <w:adjustRightInd/>
              <w:spacing w:after="0"/>
              <w:rPr>
                <w:rFonts w:ascii="Calibri" w:eastAsia="Times New Roman" w:hAnsi="Calibri"/>
                <w:color w:val="000000"/>
                <w:sz w:val="22"/>
                <w:szCs w:val="22"/>
              </w:rPr>
            </w:pPr>
            <w:r w:rsidRPr="00A24EB3">
              <w:rPr>
                <w:rFonts w:ascii="Calibri" w:eastAsia="Times New Roman" w:hAnsi="Calibri"/>
                <w:color w:val="000000"/>
                <w:sz w:val="22"/>
                <w:szCs w:val="22"/>
              </w:rPr>
              <w:t>15 dB</w:t>
            </w:r>
          </w:p>
        </w:tc>
        <w:tc>
          <w:tcPr>
            <w:tcW w:w="1199" w:type="dxa"/>
            <w:tcBorders>
              <w:top w:val="nil"/>
              <w:left w:val="nil"/>
              <w:bottom w:val="single" w:sz="4" w:space="0" w:color="auto"/>
              <w:right w:val="single" w:sz="4" w:space="0" w:color="auto"/>
            </w:tcBorders>
            <w:shd w:val="clear" w:color="auto" w:fill="auto"/>
            <w:noWrap/>
            <w:vAlign w:val="bottom"/>
            <w:hideMark/>
          </w:tcPr>
          <w:p w14:paraId="3E804F2A"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28.35</w:t>
            </w:r>
          </w:p>
        </w:tc>
        <w:tc>
          <w:tcPr>
            <w:tcW w:w="1339" w:type="dxa"/>
            <w:tcBorders>
              <w:top w:val="nil"/>
              <w:left w:val="nil"/>
              <w:bottom w:val="single" w:sz="4" w:space="0" w:color="auto"/>
              <w:right w:val="single" w:sz="4" w:space="0" w:color="auto"/>
            </w:tcBorders>
            <w:shd w:val="clear" w:color="000000" w:fill="C4D79B"/>
            <w:noWrap/>
            <w:vAlign w:val="bottom"/>
            <w:hideMark/>
          </w:tcPr>
          <w:p w14:paraId="5B69C823"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29.31</w:t>
            </w:r>
          </w:p>
        </w:tc>
        <w:tc>
          <w:tcPr>
            <w:tcW w:w="1308" w:type="dxa"/>
            <w:tcBorders>
              <w:top w:val="nil"/>
              <w:left w:val="nil"/>
              <w:bottom w:val="single" w:sz="4" w:space="0" w:color="auto"/>
              <w:right w:val="single" w:sz="4" w:space="0" w:color="auto"/>
            </w:tcBorders>
            <w:shd w:val="clear" w:color="000000" w:fill="C4D79B"/>
            <w:noWrap/>
            <w:vAlign w:val="bottom"/>
            <w:hideMark/>
          </w:tcPr>
          <w:p w14:paraId="042FC44E"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30.34</w:t>
            </w:r>
          </w:p>
        </w:tc>
        <w:tc>
          <w:tcPr>
            <w:tcW w:w="1261" w:type="dxa"/>
            <w:tcBorders>
              <w:top w:val="nil"/>
              <w:left w:val="nil"/>
              <w:bottom w:val="single" w:sz="4" w:space="0" w:color="auto"/>
              <w:right w:val="single" w:sz="4" w:space="0" w:color="auto"/>
            </w:tcBorders>
            <w:shd w:val="clear" w:color="000000" w:fill="C4D79B"/>
            <w:noWrap/>
            <w:vAlign w:val="bottom"/>
            <w:hideMark/>
          </w:tcPr>
          <w:p w14:paraId="378A92CB"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31.52</w:t>
            </w:r>
          </w:p>
        </w:tc>
        <w:tc>
          <w:tcPr>
            <w:tcW w:w="1230" w:type="dxa"/>
            <w:tcBorders>
              <w:top w:val="nil"/>
              <w:left w:val="nil"/>
              <w:bottom w:val="single" w:sz="4" w:space="0" w:color="auto"/>
              <w:right w:val="single" w:sz="4" w:space="0" w:color="auto"/>
            </w:tcBorders>
            <w:shd w:val="clear" w:color="000000" w:fill="C4D79B"/>
            <w:noWrap/>
            <w:vAlign w:val="bottom"/>
            <w:hideMark/>
          </w:tcPr>
          <w:p w14:paraId="5A2E40E6"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34.09</w:t>
            </w:r>
          </w:p>
        </w:tc>
        <w:tc>
          <w:tcPr>
            <w:tcW w:w="1261" w:type="dxa"/>
            <w:tcBorders>
              <w:top w:val="nil"/>
              <w:left w:val="nil"/>
              <w:bottom w:val="single" w:sz="4" w:space="0" w:color="auto"/>
              <w:right w:val="single" w:sz="4" w:space="0" w:color="auto"/>
            </w:tcBorders>
            <w:shd w:val="clear" w:color="000000" w:fill="C4D79B"/>
            <w:noWrap/>
            <w:vAlign w:val="bottom"/>
            <w:hideMark/>
          </w:tcPr>
          <w:p w14:paraId="3B7C9883" w14:textId="77777777" w:rsidR="00A24EB3" w:rsidRPr="00A24EB3" w:rsidRDefault="00A24EB3" w:rsidP="00A24EB3">
            <w:pPr>
              <w:overflowPunct/>
              <w:autoSpaceDE/>
              <w:autoSpaceDN/>
              <w:adjustRightInd/>
              <w:spacing w:after="0"/>
              <w:jc w:val="right"/>
              <w:rPr>
                <w:rFonts w:ascii="Calibri" w:eastAsia="Times New Roman" w:hAnsi="Calibri"/>
                <w:color w:val="000000"/>
                <w:sz w:val="22"/>
                <w:szCs w:val="22"/>
              </w:rPr>
            </w:pPr>
            <w:r w:rsidRPr="00A24EB3">
              <w:rPr>
                <w:rFonts w:ascii="Calibri" w:eastAsia="Times New Roman" w:hAnsi="Calibri"/>
                <w:color w:val="000000"/>
                <w:sz w:val="22"/>
                <w:szCs w:val="22"/>
              </w:rPr>
              <w:t>37.10</w:t>
            </w:r>
          </w:p>
        </w:tc>
      </w:tr>
    </w:tbl>
    <w:p w14:paraId="68B4DEE6" w14:textId="77777777" w:rsidR="00A24EB3" w:rsidRPr="00A24EB3" w:rsidRDefault="00A24EB3" w:rsidP="00A24EB3"/>
    <w:p w14:paraId="08957ECC" w14:textId="73BAE502" w:rsidR="00631EE1" w:rsidRDefault="00631EE1" w:rsidP="00631EE1">
      <w:r>
        <w:t xml:space="preserve">As shown in table </w:t>
      </w:r>
      <w:r w:rsidR="00A24EB3">
        <w:t>1</w:t>
      </w:r>
      <w:r>
        <w:t xml:space="preserve">, </w:t>
      </w:r>
      <w:r w:rsidR="00E012FD">
        <w:t>e</w:t>
      </w:r>
      <w:r w:rsidR="00943ACE">
        <w:t>ven for the HD-FDD</w:t>
      </w:r>
      <w:r w:rsidR="00CE452A">
        <w:t xml:space="preserve"> 1.4MHz</w:t>
      </w:r>
      <w:r w:rsidR="00943ACE">
        <w:t xml:space="preserve"> case, </w:t>
      </w:r>
      <w:r>
        <w:t>the ETS is very beneficial especially when UE is operating in higher coverage level or the UE requires larger number of repetitions.</w:t>
      </w:r>
      <w:r w:rsidR="00A24EB3">
        <w:t xml:space="preserve"> In this case, </w:t>
      </w:r>
      <w:proofErr w:type="spellStart"/>
      <w:r w:rsidR="00A24EB3">
        <w:t>eNB</w:t>
      </w:r>
      <w:proofErr w:type="spellEnd"/>
      <w:r w:rsidR="00A24EB3">
        <w:t xml:space="preserve"> may not have accurate information on the exact number of repetitions required for the PUSCH transmission and aggressively configure higher number of repetitions.</w:t>
      </w:r>
      <w:r>
        <w:t xml:space="preserve"> Also, the ETS can also be used as an UL HARQ feedback as a confirmation for the transmission of acknowledgement of the RRC connection release message in PUSCH. If the </w:t>
      </w:r>
      <w:proofErr w:type="spellStart"/>
      <w:r>
        <w:t>eNB</w:t>
      </w:r>
      <w:proofErr w:type="spellEnd"/>
      <w:r>
        <w:t xml:space="preserve"> determines UL HARQ-</w:t>
      </w:r>
      <w:proofErr w:type="spellStart"/>
      <w:r>
        <w:t>nack</w:t>
      </w:r>
      <w:proofErr w:type="spellEnd"/>
      <w:r>
        <w:t xml:space="preserve"> or a UL grant to provide for the new transmission for a HARQ process, the ETS may also be skipped for the PUSCH of the HARQ process.</w:t>
      </w:r>
    </w:p>
    <w:p w14:paraId="618EB905" w14:textId="0335C38F" w:rsidR="00631EE1" w:rsidRDefault="00D24E73" w:rsidP="00631EE1">
      <w:pPr>
        <w:pStyle w:val="Observationstyle"/>
      </w:pPr>
      <w:bookmarkStart w:id="21" w:name="_Toc489698106"/>
      <w:bookmarkStart w:id="22" w:name="_Toc490167471"/>
      <w:bookmarkStart w:id="23" w:name="_Toc490176750"/>
      <w:bookmarkStart w:id="24" w:name="_Toc490210921"/>
      <w:bookmarkStart w:id="25" w:name="_Toc490210948"/>
      <w:bookmarkStart w:id="26" w:name="_Toc490245171"/>
      <w:bookmarkStart w:id="27" w:name="_Toc490246588"/>
      <w:bookmarkStart w:id="28" w:name="_Toc490250267"/>
      <w:r>
        <w:t xml:space="preserve">Early termination </w:t>
      </w:r>
      <w:r w:rsidR="001F6173">
        <w:t>signaling</w:t>
      </w:r>
      <w:bookmarkStart w:id="29" w:name="_GoBack"/>
      <w:bookmarkEnd w:id="29"/>
      <w:r>
        <w:t xml:space="preserve"> (</w:t>
      </w:r>
      <w:r w:rsidR="00631EE1">
        <w:t>ETS</w:t>
      </w:r>
      <w:r>
        <w:t>)</w:t>
      </w:r>
      <w:r w:rsidR="00631EE1">
        <w:t xml:space="preserve"> is beneficial when a UE requires higher number of repetitions for PUSCH or when ACK for</w:t>
      </w:r>
      <w:r w:rsidR="00CA4BE6">
        <w:t xml:space="preserve"> the reception of the</w:t>
      </w:r>
      <w:r w:rsidR="00631EE1">
        <w:t xml:space="preserve"> RRC connection release message is transmitted in PUSCH.</w:t>
      </w:r>
      <w:bookmarkEnd w:id="21"/>
      <w:bookmarkEnd w:id="22"/>
      <w:bookmarkEnd w:id="23"/>
      <w:bookmarkEnd w:id="24"/>
      <w:bookmarkEnd w:id="25"/>
      <w:bookmarkEnd w:id="26"/>
      <w:bookmarkEnd w:id="27"/>
      <w:bookmarkEnd w:id="28"/>
    </w:p>
    <w:p w14:paraId="3A343F6F" w14:textId="14CF3C92" w:rsidR="00631EE1" w:rsidRDefault="00631EE1" w:rsidP="00631EE1">
      <w:pPr>
        <w:pStyle w:val="Recommend-1"/>
      </w:pPr>
      <w:bookmarkStart w:id="30" w:name="_Toc489698108"/>
      <w:bookmarkStart w:id="31" w:name="_Toc489699990"/>
      <w:bookmarkStart w:id="32" w:name="_Toc489700006"/>
      <w:bookmarkStart w:id="33" w:name="_Toc490167474"/>
      <w:bookmarkStart w:id="34" w:name="_Toc490176759"/>
      <w:bookmarkStart w:id="35" w:name="_Toc490210950"/>
      <w:bookmarkStart w:id="36" w:name="_Toc490245166"/>
      <w:bookmarkStart w:id="37" w:name="_Toc490246589"/>
      <w:bookmarkStart w:id="38" w:name="_Toc490250268"/>
      <w:r>
        <w:t>ETS as a UL HARQ-</w:t>
      </w:r>
      <w:proofErr w:type="spellStart"/>
      <w:r>
        <w:t>ack</w:t>
      </w:r>
      <w:proofErr w:type="spellEnd"/>
      <w:r>
        <w:t xml:space="preserve"> feedback is supported. The details of the design is up to RAN1.</w:t>
      </w:r>
      <w:bookmarkEnd w:id="30"/>
      <w:bookmarkEnd w:id="31"/>
      <w:bookmarkEnd w:id="32"/>
      <w:bookmarkEnd w:id="33"/>
      <w:bookmarkEnd w:id="34"/>
      <w:bookmarkEnd w:id="35"/>
      <w:bookmarkEnd w:id="36"/>
      <w:bookmarkEnd w:id="37"/>
      <w:bookmarkEnd w:id="38"/>
    </w:p>
    <w:p w14:paraId="16440C26" w14:textId="167638B2" w:rsidR="00631EE1" w:rsidRDefault="00631EE1" w:rsidP="003219E4">
      <w:r>
        <w:t xml:space="preserve">The ETS can be configured using the dedicated RRC signaling. </w:t>
      </w:r>
      <w:r w:rsidR="003219E4">
        <w:t>The ETS can also be activated and can be deactivated</w:t>
      </w:r>
      <w:r w:rsidR="00373C5A">
        <w:t xml:space="preserve"> for a PUSCH transmission using lower layer signaling such as MAC CE command or DCI. </w:t>
      </w:r>
      <w:r>
        <w:t xml:space="preserve">For example, </w:t>
      </w:r>
      <w:r w:rsidR="003429E5">
        <w:t xml:space="preserve">the MAC PDU carrying the </w:t>
      </w:r>
      <w:r>
        <w:t>RRC connection release message can include the DL MAC CE</w:t>
      </w:r>
      <w:r w:rsidR="000A240F">
        <w:t xml:space="preserve"> command</w:t>
      </w:r>
      <w:r>
        <w:t xml:space="preserve"> to activate the ETS. Similarly, DCI in the MPDCCH scheduling the RRC connection release message can activate the ETS. </w:t>
      </w:r>
      <w:r w:rsidR="003429E5">
        <w:t>Note that, the ETS may be disabled for a PUSCH transmission</w:t>
      </w:r>
      <w:r w:rsidR="00F771D3">
        <w:t xml:space="preserve"> in CE mode A</w:t>
      </w:r>
      <w:r w:rsidR="003429E5">
        <w:t>.</w:t>
      </w:r>
    </w:p>
    <w:p w14:paraId="0D71FC6E" w14:textId="4AC8B8C2" w:rsidR="00BC3DC6" w:rsidRPr="003219E4" w:rsidRDefault="00373C5A" w:rsidP="00BC3DC6">
      <w:pPr>
        <w:pStyle w:val="Recommend-1"/>
      </w:pPr>
      <w:bookmarkStart w:id="39" w:name="_Toc489534999"/>
      <w:bookmarkStart w:id="40" w:name="_Toc489698109"/>
      <w:bookmarkStart w:id="41" w:name="_Toc489699991"/>
      <w:bookmarkStart w:id="42" w:name="_Toc489700007"/>
      <w:bookmarkStart w:id="43" w:name="_Toc490167475"/>
      <w:bookmarkStart w:id="44" w:name="_Toc490176760"/>
      <w:bookmarkStart w:id="45" w:name="_Toc490210951"/>
      <w:bookmarkStart w:id="46" w:name="_Toc490245167"/>
      <w:bookmarkStart w:id="47" w:name="_Toc490246590"/>
      <w:bookmarkStart w:id="48" w:name="_Toc490250269"/>
      <w:r>
        <w:t xml:space="preserve">Early termination signaling can be activated/deactivated using </w:t>
      </w:r>
      <w:r w:rsidR="00C42FA7">
        <w:t>L1/L2 layer</w:t>
      </w:r>
      <w:r>
        <w:t xml:space="preserve"> signaling for a PUSCH transmission.</w:t>
      </w:r>
      <w:bookmarkEnd w:id="39"/>
      <w:bookmarkEnd w:id="40"/>
      <w:bookmarkEnd w:id="41"/>
      <w:bookmarkEnd w:id="42"/>
      <w:bookmarkEnd w:id="43"/>
      <w:bookmarkEnd w:id="44"/>
      <w:bookmarkEnd w:id="45"/>
      <w:bookmarkEnd w:id="46"/>
      <w:bookmarkEnd w:id="47"/>
      <w:bookmarkEnd w:id="48"/>
    </w:p>
    <w:p w14:paraId="6E244F3F" w14:textId="77777777" w:rsidR="003F5E77" w:rsidRDefault="003F5E77" w:rsidP="003F5E77">
      <w:pPr>
        <w:pStyle w:val="Heading1"/>
        <w:rPr>
          <w:rFonts w:cs="Arial"/>
        </w:rPr>
      </w:pPr>
      <w:bookmarkStart w:id="49" w:name="_Toc478131478"/>
      <w:bookmarkStart w:id="50" w:name="_Toc478158690"/>
      <w:bookmarkStart w:id="51" w:name="_Toc478131479"/>
      <w:bookmarkStart w:id="52" w:name="_Toc478158691"/>
      <w:bookmarkEnd w:id="49"/>
      <w:bookmarkEnd w:id="50"/>
      <w:bookmarkEnd w:id="51"/>
      <w:bookmarkEnd w:id="52"/>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7E4E5243" w14:textId="77777777" w:rsidR="001F6173"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1F6173" w:rsidRPr="006126A6">
        <w:rPr>
          <w:rFonts w:ascii="Times New Roman Bold" w:hAnsi="Times New Roman Bold"/>
          <w:b/>
          <w:noProof/>
          <w:lang w:val="en-GB"/>
        </w:rPr>
        <w:t>Observation 1</w:t>
      </w:r>
      <w:r w:rsidR="001F6173" w:rsidRPr="006126A6">
        <w:rPr>
          <w:noProof/>
          <w:lang w:val="en-GB"/>
        </w:rPr>
        <w:t xml:space="preserve"> Explicit UL HARQ-ack feedback is beneficial for the acknowledgement of the reception of the RRC connection release message.</w:t>
      </w:r>
    </w:p>
    <w:p w14:paraId="1DB6D871" w14:textId="77777777" w:rsidR="001F6173" w:rsidRDefault="001F6173">
      <w:pPr>
        <w:pStyle w:val="TOC1"/>
        <w:tabs>
          <w:tab w:val="right" w:leader="dot" w:pos="9350"/>
        </w:tabs>
        <w:rPr>
          <w:rFonts w:asciiTheme="minorHAnsi" w:eastAsiaTheme="minorEastAsia" w:hAnsiTheme="minorHAnsi" w:cstheme="minorBidi"/>
          <w:noProof/>
          <w:sz w:val="22"/>
          <w:szCs w:val="22"/>
        </w:rPr>
      </w:pPr>
      <w:r w:rsidRPr="006126A6">
        <w:rPr>
          <w:rFonts w:ascii="Times New Roman Bold" w:hAnsi="Times New Roman Bold"/>
          <w:b/>
          <w:noProof/>
          <w:lang w:val="en-GB"/>
        </w:rPr>
        <w:t>Observation 2</w:t>
      </w:r>
      <w:r w:rsidRPr="006126A6">
        <w:rPr>
          <w:noProof/>
          <w:lang w:val="en-GB"/>
        </w:rPr>
        <w:t xml:space="preserve"> Explicit UL HARQ-ack feedback does not provide gain if it is not for the last PUSCH transmission.</w:t>
      </w:r>
    </w:p>
    <w:p w14:paraId="0A9A2386" w14:textId="77777777" w:rsidR="001F6173" w:rsidRDefault="001F6173">
      <w:pPr>
        <w:pStyle w:val="TOC1"/>
        <w:tabs>
          <w:tab w:val="right" w:leader="dot" w:pos="9350"/>
        </w:tabs>
        <w:rPr>
          <w:rFonts w:asciiTheme="minorHAnsi" w:eastAsiaTheme="minorEastAsia" w:hAnsiTheme="minorHAnsi" w:cstheme="minorBidi"/>
          <w:noProof/>
          <w:sz w:val="22"/>
          <w:szCs w:val="22"/>
        </w:rPr>
      </w:pPr>
      <w:r w:rsidRPr="006126A6">
        <w:rPr>
          <w:rFonts w:ascii="Times New Roman Bold" w:hAnsi="Times New Roman Bold"/>
          <w:b/>
          <w:noProof/>
        </w:rPr>
        <w:t>Observation 3</w:t>
      </w:r>
      <w:r>
        <w:rPr>
          <w:noProof/>
        </w:rPr>
        <w:t xml:space="preserve"> Early termination signalling (ETS) is beneficial when a UE requires higher number of repetitions for PUSCH or when ACK for the reception of the RRC connection release message is transmitted in PUSCH.</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discussion</w:t>
      </w:r>
      <w:r w:rsidRPr="0006424E">
        <w:rPr>
          <w:noProof/>
          <w:lang w:val="en-GB"/>
        </w:rPr>
        <w:t>, we propose:</w:t>
      </w:r>
    </w:p>
    <w:p w14:paraId="423249A5" w14:textId="77777777" w:rsidR="001F6173"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1F6173" w:rsidRPr="00F32094">
        <w:rPr>
          <w:b/>
          <w:noProof/>
        </w:rPr>
        <w:t>Proposal 1.</w:t>
      </w:r>
      <w:r w:rsidR="001F6173">
        <w:rPr>
          <w:rFonts w:asciiTheme="minorHAnsi" w:eastAsiaTheme="minorEastAsia" w:hAnsiTheme="minorHAnsi" w:cstheme="minorBidi"/>
          <w:noProof/>
          <w:sz w:val="22"/>
          <w:szCs w:val="22"/>
        </w:rPr>
        <w:tab/>
      </w:r>
      <w:r w:rsidR="001F6173">
        <w:rPr>
          <w:noProof/>
        </w:rPr>
        <w:t>ETS as a UL HARQ-ack feedback is supported. The details of the design is up to RAN1.</w:t>
      </w:r>
    </w:p>
    <w:p w14:paraId="1E4009F2" w14:textId="77777777" w:rsidR="001F6173" w:rsidRDefault="001F6173">
      <w:pPr>
        <w:pStyle w:val="TOC1"/>
        <w:tabs>
          <w:tab w:val="left" w:pos="1320"/>
          <w:tab w:val="right" w:leader="dot" w:pos="9350"/>
        </w:tabs>
        <w:rPr>
          <w:rFonts w:asciiTheme="minorHAnsi" w:eastAsiaTheme="minorEastAsia" w:hAnsiTheme="minorHAnsi" w:cstheme="minorBidi"/>
          <w:noProof/>
          <w:sz w:val="22"/>
          <w:szCs w:val="22"/>
        </w:rPr>
      </w:pPr>
      <w:r w:rsidRPr="00F32094">
        <w:rPr>
          <w:b/>
          <w:noProof/>
        </w:rPr>
        <w:t>Proposal 2.</w:t>
      </w:r>
      <w:r>
        <w:rPr>
          <w:rFonts w:asciiTheme="minorHAnsi" w:eastAsiaTheme="minorEastAsia" w:hAnsiTheme="minorHAnsi" w:cstheme="minorBidi"/>
          <w:noProof/>
          <w:sz w:val="22"/>
          <w:szCs w:val="22"/>
        </w:rPr>
        <w:tab/>
      </w:r>
      <w:r>
        <w:rPr>
          <w:noProof/>
        </w:rPr>
        <w:t>Early termination signaling can be activated/deactivated using L1/L2 layer signaling for a PUSCH transmission.</w:t>
      </w:r>
    </w:p>
    <w:p w14:paraId="3E224C16" w14:textId="26FC7EB1"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16D94165" w:rsidR="003F5E77" w:rsidRPr="00A66DAB" w:rsidRDefault="003F5E77" w:rsidP="003F5E77">
      <w:pPr>
        <w:pStyle w:val="Heading1"/>
        <w:rPr>
          <w:rFonts w:cs="Arial"/>
        </w:rPr>
      </w:pPr>
      <w:r w:rsidRPr="00A66DAB">
        <w:rPr>
          <w:rFonts w:cs="Arial"/>
        </w:rPr>
        <w:t>Reference</w:t>
      </w:r>
    </w:p>
    <w:bookmarkEnd w:id="2"/>
    <w:p w14:paraId="21C44980" w14:textId="77777777" w:rsidR="00EA2F81" w:rsidRDefault="00EA2F81" w:rsidP="00EA2F81">
      <w:r>
        <w:t xml:space="preserve">[1] </w:t>
      </w:r>
      <w:r w:rsidRPr="00B54FEA">
        <w:t>D</w:t>
      </w:r>
      <w:r>
        <w:t>raft Report of 3GPP TSG RAN WG1 #88bis, Spokane, USA, 3</w:t>
      </w:r>
      <w:r w:rsidRPr="00B54FEA">
        <w:rPr>
          <w:vertAlign w:val="superscript"/>
        </w:rPr>
        <w:t>rd</w:t>
      </w:r>
      <w:r>
        <w:t xml:space="preserve"> – 7</w:t>
      </w:r>
      <w:r w:rsidRPr="00B54FEA">
        <w:rPr>
          <w:vertAlign w:val="superscript"/>
        </w:rPr>
        <w:t>th</w:t>
      </w:r>
      <w:r>
        <w:t xml:space="preserve"> April, 2017.</w:t>
      </w:r>
    </w:p>
    <w:p w14:paraId="024471FF" w14:textId="77777777" w:rsidR="00EA2F81" w:rsidRDefault="00EA2F81" w:rsidP="00EA2F81">
      <w:r>
        <w:t xml:space="preserve">[2] </w:t>
      </w:r>
      <w:r w:rsidRPr="00B54FEA">
        <w:t>D</w:t>
      </w:r>
      <w:r>
        <w:t xml:space="preserve">raft Report of 3GPP TSG RAN WG1 #89, Hangzhou, China, </w:t>
      </w:r>
      <w:proofErr w:type="gramStart"/>
      <w:r>
        <w:t>15</w:t>
      </w:r>
      <w:r w:rsidRPr="00B54FEA">
        <w:rPr>
          <w:vertAlign w:val="superscript"/>
        </w:rPr>
        <w:t>th</w:t>
      </w:r>
      <w:proofErr w:type="gramEnd"/>
      <w:r>
        <w:t xml:space="preserve"> – 19</w:t>
      </w:r>
      <w:r w:rsidRPr="00B54FEA">
        <w:rPr>
          <w:vertAlign w:val="superscript"/>
        </w:rPr>
        <w:t>th</w:t>
      </w:r>
      <w:r>
        <w:t xml:space="preserve"> May 2017.</w:t>
      </w:r>
    </w:p>
    <w:p w14:paraId="243898E8" w14:textId="45347C97" w:rsidR="0011560A" w:rsidRDefault="00ED1CB0">
      <w:r>
        <w:t>[</w:t>
      </w:r>
      <w:r w:rsidR="00EA2F81">
        <w:t>3</w:t>
      </w:r>
      <w:r>
        <w:t>] R1-17</w:t>
      </w:r>
      <w:r w:rsidR="00CE452A">
        <w:t>12499</w:t>
      </w:r>
      <w:r>
        <w:t>, “</w:t>
      </w:r>
      <w:r w:rsidRPr="00ED1CB0">
        <w:t xml:space="preserve">HARQ-ACK feedback for </w:t>
      </w:r>
      <w:proofErr w:type="spellStart"/>
      <w:r w:rsidRPr="00ED1CB0">
        <w:t>efeMTC</w:t>
      </w:r>
      <w:proofErr w:type="spellEnd"/>
      <w:r w:rsidRPr="00ED1CB0">
        <w:t xml:space="preserve"> UL transmission</w:t>
      </w:r>
      <w:r>
        <w:t>”, Intel Corp., 21</w:t>
      </w:r>
      <w:r w:rsidRPr="00ED1CB0">
        <w:rPr>
          <w:vertAlign w:val="superscript"/>
        </w:rPr>
        <w:t>st</w:t>
      </w:r>
      <w:r>
        <w:t xml:space="preserve"> – 25</w:t>
      </w:r>
      <w:r w:rsidRPr="00ED1CB0">
        <w:rPr>
          <w:vertAlign w:val="superscript"/>
        </w:rPr>
        <w:t>th</w:t>
      </w:r>
      <w:r>
        <w:t xml:space="preserve"> August, 2017, Berlin, Germany.</w:t>
      </w:r>
    </w:p>
    <w:p w14:paraId="70242201" w14:textId="099C7803" w:rsidR="00ED1CB0" w:rsidRDefault="00ED1CB0">
      <w:r>
        <w:t>[</w:t>
      </w:r>
      <w:r w:rsidR="00EA2F81">
        <w:t>4</w:t>
      </w:r>
      <w:r>
        <w:t xml:space="preserve">] </w:t>
      </w:r>
      <w:r w:rsidR="00856474">
        <w:t>R2-153281, “</w:t>
      </w:r>
      <w:r w:rsidR="00856474" w:rsidRPr="00856474">
        <w:t>UE battery lifetime evaluation for MTC/C-</w:t>
      </w:r>
      <w:proofErr w:type="spellStart"/>
      <w:r w:rsidR="00856474" w:rsidRPr="00856474">
        <w:t>IoT</w:t>
      </w:r>
      <w:proofErr w:type="spellEnd"/>
      <w:r w:rsidR="00856474" w:rsidRPr="00856474">
        <w:t xml:space="preserve"> use cases</w:t>
      </w:r>
      <w:r w:rsidR="00856474">
        <w:t>”, Intel Corp., 24</w:t>
      </w:r>
      <w:r w:rsidR="00856474" w:rsidRPr="00856474">
        <w:rPr>
          <w:vertAlign w:val="superscript"/>
        </w:rPr>
        <w:t>th</w:t>
      </w:r>
      <w:r w:rsidR="00856474">
        <w:t xml:space="preserve"> -28</w:t>
      </w:r>
      <w:r w:rsidR="00856474" w:rsidRPr="00856474">
        <w:rPr>
          <w:vertAlign w:val="superscript"/>
        </w:rPr>
        <w:t>th</w:t>
      </w:r>
      <w:r w:rsidR="00856474">
        <w:t xml:space="preserve"> August, 2015, Beijing, China.</w:t>
      </w:r>
    </w:p>
    <w:sectPr w:rsidR="00ED1CB0"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1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2"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1"/>
  </w:num>
  <w:num w:numId="3">
    <w:abstractNumId w:val="4"/>
  </w:num>
  <w:num w:numId="4">
    <w:abstractNumId w:val="10"/>
  </w:num>
  <w:num w:numId="5">
    <w:abstractNumId w:val="18"/>
  </w:num>
  <w:num w:numId="6">
    <w:abstractNumId w:val="22"/>
  </w:num>
  <w:num w:numId="7">
    <w:abstractNumId w:val="10"/>
  </w:num>
  <w:num w:numId="8">
    <w:abstractNumId w:val="1"/>
  </w:num>
  <w:num w:numId="9">
    <w:abstractNumId w:val="2"/>
  </w:num>
  <w:num w:numId="10">
    <w:abstractNumId w:val="23"/>
  </w:num>
  <w:num w:numId="11">
    <w:abstractNumId w:val="11"/>
  </w:num>
  <w:num w:numId="12">
    <w:abstractNumId w:val="6"/>
  </w:num>
  <w:num w:numId="13">
    <w:abstractNumId w:val="16"/>
  </w:num>
  <w:num w:numId="14">
    <w:abstractNumId w:val="12"/>
  </w:num>
  <w:num w:numId="15">
    <w:abstractNumId w:val="17"/>
  </w:num>
  <w:num w:numId="16">
    <w:abstractNumId w:val="0"/>
  </w:num>
  <w:num w:numId="17">
    <w:abstractNumId w:val="13"/>
  </w:num>
  <w:num w:numId="18">
    <w:abstractNumId w:val="8"/>
  </w:num>
  <w:num w:numId="19">
    <w:abstractNumId w:val="5"/>
  </w:num>
  <w:num w:numId="20">
    <w:abstractNumId w:val="14"/>
  </w:num>
  <w:num w:numId="21">
    <w:abstractNumId w:val="9"/>
  </w:num>
  <w:num w:numId="22">
    <w:abstractNumId w:val="19"/>
  </w:num>
  <w:num w:numId="23">
    <w:abstractNumId w:val="3"/>
  </w:num>
  <w:num w:numId="24">
    <w:abstractNumId w:val="1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211D6"/>
    <w:rsid w:val="000215C7"/>
    <w:rsid w:val="000235D3"/>
    <w:rsid w:val="0002718D"/>
    <w:rsid w:val="000314A6"/>
    <w:rsid w:val="0003347D"/>
    <w:rsid w:val="00040294"/>
    <w:rsid w:val="00040FEE"/>
    <w:rsid w:val="00041E0D"/>
    <w:rsid w:val="000467EB"/>
    <w:rsid w:val="00054672"/>
    <w:rsid w:val="000609C9"/>
    <w:rsid w:val="00061683"/>
    <w:rsid w:val="000708AA"/>
    <w:rsid w:val="00080F13"/>
    <w:rsid w:val="000921F5"/>
    <w:rsid w:val="0009517A"/>
    <w:rsid w:val="000A240F"/>
    <w:rsid w:val="000A53F7"/>
    <w:rsid w:val="000B328A"/>
    <w:rsid w:val="000D7328"/>
    <w:rsid w:val="000F2EF8"/>
    <w:rsid w:val="0010142B"/>
    <w:rsid w:val="001017AC"/>
    <w:rsid w:val="0011448A"/>
    <w:rsid w:val="0012225E"/>
    <w:rsid w:val="001304C5"/>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5B12"/>
    <w:rsid w:val="001A0AC6"/>
    <w:rsid w:val="001A1F48"/>
    <w:rsid w:val="001B10AD"/>
    <w:rsid w:val="001B28D5"/>
    <w:rsid w:val="001C20BB"/>
    <w:rsid w:val="001C4272"/>
    <w:rsid w:val="001D0DFD"/>
    <w:rsid w:val="001E493A"/>
    <w:rsid w:val="001F1C93"/>
    <w:rsid w:val="001F31E3"/>
    <w:rsid w:val="001F5C6A"/>
    <w:rsid w:val="001F6173"/>
    <w:rsid w:val="001F6F0E"/>
    <w:rsid w:val="002071FC"/>
    <w:rsid w:val="00207D7F"/>
    <w:rsid w:val="00214774"/>
    <w:rsid w:val="002236EA"/>
    <w:rsid w:val="00231D4F"/>
    <w:rsid w:val="002426E4"/>
    <w:rsid w:val="00243C9C"/>
    <w:rsid w:val="00245748"/>
    <w:rsid w:val="00252C5C"/>
    <w:rsid w:val="002530FD"/>
    <w:rsid w:val="00265C6A"/>
    <w:rsid w:val="00276D2E"/>
    <w:rsid w:val="00283BAF"/>
    <w:rsid w:val="00294CDB"/>
    <w:rsid w:val="00297ED7"/>
    <w:rsid w:val="002A237B"/>
    <w:rsid w:val="002A4917"/>
    <w:rsid w:val="002A6493"/>
    <w:rsid w:val="002A7F76"/>
    <w:rsid w:val="002B4C5F"/>
    <w:rsid w:val="002C59D2"/>
    <w:rsid w:val="002C7300"/>
    <w:rsid w:val="002C781A"/>
    <w:rsid w:val="002D34F1"/>
    <w:rsid w:val="002E0215"/>
    <w:rsid w:val="002E06AA"/>
    <w:rsid w:val="002E600A"/>
    <w:rsid w:val="002F2D32"/>
    <w:rsid w:val="002F4198"/>
    <w:rsid w:val="003044EA"/>
    <w:rsid w:val="00307944"/>
    <w:rsid w:val="003219E4"/>
    <w:rsid w:val="00323DF0"/>
    <w:rsid w:val="0034091B"/>
    <w:rsid w:val="00340FD6"/>
    <w:rsid w:val="003429E5"/>
    <w:rsid w:val="00344CBF"/>
    <w:rsid w:val="0034505A"/>
    <w:rsid w:val="003469E5"/>
    <w:rsid w:val="00347BF3"/>
    <w:rsid w:val="00373C5A"/>
    <w:rsid w:val="003836E3"/>
    <w:rsid w:val="00387A79"/>
    <w:rsid w:val="00390D9E"/>
    <w:rsid w:val="003A1EBB"/>
    <w:rsid w:val="003A218E"/>
    <w:rsid w:val="003B2E53"/>
    <w:rsid w:val="003C4942"/>
    <w:rsid w:val="003C4A73"/>
    <w:rsid w:val="003D2B70"/>
    <w:rsid w:val="003D2E57"/>
    <w:rsid w:val="003E6962"/>
    <w:rsid w:val="003F4991"/>
    <w:rsid w:val="003F5E77"/>
    <w:rsid w:val="00400A27"/>
    <w:rsid w:val="004019B7"/>
    <w:rsid w:val="00406CC5"/>
    <w:rsid w:val="004100E5"/>
    <w:rsid w:val="004107FE"/>
    <w:rsid w:val="00411685"/>
    <w:rsid w:val="0043017D"/>
    <w:rsid w:val="0043278C"/>
    <w:rsid w:val="004353D0"/>
    <w:rsid w:val="00437FBF"/>
    <w:rsid w:val="00447E80"/>
    <w:rsid w:val="00455BC6"/>
    <w:rsid w:val="004570E9"/>
    <w:rsid w:val="00464BC3"/>
    <w:rsid w:val="0046592C"/>
    <w:rsid w:val="00466DD3"/>
    <w:rsid w:val="00472ED4"/>
    <w:rsid w:val="004748EF"/>
    <w:rsid w:val="004758A9"/>
    <w:rsid w:val="00480D86"/>
    <w:rsid w:val="00482C53"/>
    <w:rsid w:val="0048392F"/>
    <w:rsid w:val="004851FD"/>
    <w:rsid w:val="00485221"/>
    <w:rsid w:val="00485F98"/>
    <w:rsid w:val="00490E73"/>
    <w:rsid w:val="00494B8C"/>
    <w:rsid w:val="00495528"/>
    <w:rsid w:val="004A31AE"/>
    <w:rsid w:val="004A3560"/>
    <w:rsid w:val="004A39B8"/>
    <w:rsid w:val="004B09BE"/>
    <w:rsid w:val="004B592E"/>
    <w:rsid w:val="004C2267"/>
    <w:rsid w:val="004C6373"/>
    <w:rsid w:val="004D5BCE"/>
    <w:rsid w:val="004E1B82"/>
    <w:rsid w:val="004F4671"/>
    <w:rsid w:val="0052610A"/>
    <w:rsid w:val="0052663F"/>
    <w:rsid w:val="00533C18"/>
    <w:rsid w:val="00534787"/>
    <w:rsid w:val="005415E0"/>
    <w:rsid w:val="00542B4C"/>
    <w:rsid w:val="0054372A"/>
    <w:rsid w:val="005542AC"/>
    <w:rsid w:val="00555CF9"/>
    <w:rsid w:val="005600F8"/>
    <w:rsid w:val="005636DC"/>
    <w:rsid w:val="00566E44"/>
    <w:rsid w:val="00572814"/>
    <w:rsid w:val="005744F4"/>
    <w:rsid w:val="00577EB2"/>
    <w:rsid w:val="00577F87"/>
    <w:rsid w:val="00586C30"/>
    <w:rsid w:val="00595D86"/>
    <w:rsid w:val="005D16B4"/>
    <w:rsid w:val="005D3FA9"/>
    <w:rsid w:val="005D5067"/>
    <w:rsid w:val="005D78DB"/>
    <w:rsid w:val="005E0EDE"/>
    <w:rsid w:val="005E2B01"/>
    <w:rsid w:val="006038EE"/>
    <w:rsid w:val="006048BD"/>
    <w:rsid w:val="00611661"/>
    <w:rsid w:val="006134B8"/>
    <w:rsid w:val="0061790A"/>
    <w:rsid w:val="006212B5"/>
    <w:rsid w:val="006266FD"/>
    <w:rsid w:val="00631EE1"/>
    <w:rsid w:val="00632E56"/>
    <w:rsid w:val="00634167"/>
    <w:rsid w:val="0065344E"/>
    <w:rsid w:val="006544A0"/>
    <w:rsid w:val="0066485F"/>
    <w:rsid w:val="00665B2F"/>
    <w:rsid w:val="00675028"/>
    <w:rsid w:val="006800F3"/>
    <w:rsid w:val="006942AD"/>
    <w:rsid w:val="006A2CD4"/>
    <w:rsid w:val="006A7B10"/>
    <w:rsid w:val="006B1377"/>
    <w:rsid w:val="006C4842"/>
    <w:rsid w:val="006D0E12"/>
    <w:rsid w:val="006E56FE"/>
    <w:rsid w:val="006E68D8"/>
    <w:rsid w:val="006E7F24"/>
    <w:rsid w:val="006F185E"/>
    <w:rsid w:val="006F2B3D"/>
    <w:rsid w:val="006F3CA2"/>
    <w:rsid w:val="006F446F"/>
    <w:rsid w:val="0071434C"/>
    <w:rsid w:val="00722AE0"/>
    <w:rsid w:val="0073452D"/>
    <w:rsid w:val="00745B05"/>
    <w:rsid w:val="00760451"/>
    <w:rsid w:val="00760901"/>
    <w:rsid w:val="00766A36"/>
    <w:rsid w:val="00781075"/>
    <w:rsid w:val="007815FB"/>
    <w:rsid w:val="00787CF3"/>
    <w:rsid w:val="00791F58"/>
    <w:rsid w:val="00792887"/>
    <w:rsid w:val="00794372"/>
    <w:rsid w:val="007A7883"/>
    <w:rsid w:val="007C02D0"/>
    <w:rsid w:val="007C3351"/>
    <w:rsid w:val="007C3FC3"/>
    <w:rsid w:val="007C73B1"/>
    <w:rsid w:val="007C7518"/>
    <w:rsid w:val="007D0A88"/>
    <w:rsid w:val="007D6EAC"/>
    <w:rsid w:val="007D7CF3"/>
    <w:rsid w:val="007E12C5"/>
    <w:rsid w:val="007E44D1"/>
    <w:rsid w:val="007E4EE6"/>
    <w:rsid w:val="007F560A"/>
    <w:rsid w:val="007F610C"/>
    <w:rsid w:val="008038BB"/>
    <w:rsid w:val="008203D8"/>
    <w:rsid w:val="0082399A"/>
    <w:rsid w:val="008245C4"/>
    <w:rsid w:val="00826523"/>
    <w:rsid w:val="0083605C"/>
    <w:rsid w:val="0084166D"/>
    <w:rsid w:val="00853AC5"/>
    <w:rsid w:val="00854BB4"/>
    <w:rsid w:val="0085616C"/>
    <w:rsid w:val="00856474"/>
    <w:rsid w:val="0086336C"/>
    <w:rsid w:val="008645D3"/>
    <w:rsid w:val="0086760C"/>
    <w:rsid w:val="00874421"/>
    <w:rsid w:val="008858FE"/>
    <w:rsid w:val="008A00C9"/>
    <w:rsid w:val="008A226A"/>
    <w:rsid w:val="008A2B40"/>
    <w:rsid w:val="008A6FBB"/>
    <w:rsid w:val="008B3DE2"/>
    <w:rsid w:val="008B421E"/>
    <w:rsid w:val="008B6267"/>
    <w:rsid w:val="008C2A2A"/>
    <w:rsid w:val="008C2FAE"/>
    <w:rsid w:val="008C4816"/>
    <w:rsid w:val="008D4E2B"/>
    <w:rsid w:val="008E53FA"/>
    <w:rsid w:val="008F279B"/>
    <w:rsid w:val="0090077C"/>
    <w:rsid w:val="00912015"/>
    <w:rsid w:val="0092205F"/>
    <w:rsid w:val="009237A0"/>
    <w:rsid w:val="00931BB8"/>
    <w:rsid w:val="00942659"/>
    <w:rsid w:val="00943ACE"/>
    <w:rsid w:val="00950992"/>
    <w:rsid w:val="00951C0F"/>
    <w:rsid w:val="00954AFE"/>
    <w:rsid w:val="00955E28"/>
    <w:rsid w:val="009647D1"/>
    <w:rsid w:val="00964AF5"/>
    <w:rsid w:val="00970FC5"/>
    <w:rsid w:val="00976C6E"/>
    <w:rsid w:val="00981385"/>
    <w:rsid w:val="0098301D"/>
    <w:rsid w:val="00983099"/>
    <w:rsid w:val="00983612"/>
    <w:rsid w:val="00992E76"/>
    <w:rsid w:val="009964DD"/>
    <w:rsid w:val="009A242E"/>
    <w:rsid w:val="009A7058"/>
    <w:rsid w:val="009B2EAF"/>
    <w:rsid w:val="009B74C4"/>
    <w:rsid w:val="009C7071"/>
    <w:rsid w:val="009D293D"/>
    <w:rsid w:val="009E5E6C"/>
    <w:rsid w:val="009F02DB"/>
    <w:rsid w:val="009F6608"/>
    <w:rsid w:val="009F7227"/>
    <w:rsid w:val="009F7A35"/>
    <w:rsid w:val="00A00073"/>
    <w:rsid w:val="00A04B97"/>
    <w:rsid w:val="00A04F7C"/>
    <w:rsid w:val="00A2075F"/>
    <w:rsid w:val="00A23091"/>
    <w:rsid w:val="00A24585"/>
    <w:rsid w:val="00A24EB3"/>
    <w:rsid w:val="00A401D3"/>
    <w:rsid w:val="00A404A2"/>
    <w:rsid w:val="00A43D9C"/>
    <w:rsid w:val="00A562AD"/>
    <w:rsid w:val="00A60A84"/>
    <w:rsid w:val="00A649FE"/>
    <w:rsid w:val="00A71FE3"/>
    <w:rsid w:val="00A903A0"/>
    <w:rsid w:val="00A9380B"/>
    <w:rsid w:val="00A9412D"/>
    <w:rsid w:val="00A963C5"/>
    <w:rsid w:val="00A966E2"/>
    <w:rsid w:val="00A973AE"/>
    <w:rsid w:val="00A97FDF"/>
    <w:rsid w:val="00AA5C22"/>
    <w:rsid w:val="00AB0937"/>
    <w:rsid w:val="00AB38F1"/>
    <w:rsid w:val="00AB44C0"/>
    <w:rsid w:val="00AC7ADC"/>
    <w:rsid w:val="00AD09B7"/>
    <w:rsid w:val="00AD0B7F"/>
    <w:rsid w:val="00AD1D33"/>
    <w:rsid w:val="00AD6140"/>
    <w:rsid w:val="00AE022C"/>
    <w:rsid w:val="00AE498F"/>
    <w:rsid w:val="00AE666E"/>
    <w:rsid w:val="00AF35EE"/>
    <w:rsid w:val="00AF5795"/>
    <w:rsid w:val="00B22139"/>
    <w:rsid w:val="00B24EB2"/>
    <w:rsid w:val="00B3499B"/>
    <w:rsid w:val="00B44E4F"/>
    <w:rsid w:val="00B45D2C"/>
    <w:rsid w:val="00B54288"/>
    <w:rsid w:val="00B760E7"/>
    <w:rsid w:val="00B805E9"/>
    <w:rsid w:val="00B85171"/>
    <w:rsid w:val="00B86E49"/>
    <w:rsid w:val="00B901F7"/>
    <w:rsid w:val="00B90AA4"/>
    <w:rsid w:val="00B96693"/>
    <w:rsid w:val="00BA6633"/>
    <w:rsid w:val="00BB2FE9"/>
    <w:rsid w:val="00BB4A06"/>
    <w:rsid w:val="00BB4E58"/>
    <w:rsid w:val="00BC3DC6"/>
    <w:rsid w:val="00BD49E8"/>
    <w:rsid w:val="00BE4D9C"/>
    <w:rsid w:val="00BF1D45"/>
    <w:rsid w:val="00BF3163"/>
    <w:rsid w:val="00C21A90"/>
    <w:rsid w:val="00C22C27"/>
    <w:rsid w:val="00C25FBE"/>
    <w:rsid w:val="00C326A0"/>
    <w:rsid w:val="00C42FA7"/>
    <w:rsid w:val="00C537EE"/>
    <w:rsid w:val="00C54B87"/>
    <w:rsid w:val="00C62289"/>
    <w:rsid w:val="00C63CB5"/>
    <w:rsid w:val="00C654DA"/>
    <w:rsid w:val="00C66648"/>
    <w:rsid w:val="00C73645"/>
    <w:rsid w:val="00C739A9"/>
    <w:rsid w:val="00C73F83"/>
    <w:rsid w:val="00C753D6"/>
    <w:rsid w:val="00C81C79"/>
    <w:rsid w:val="00C92ACD"/>
    <w:rsid w:val="00C94A39"/>
    <w:rsid w:val="00CA24A3"/>
    <w:rsid w:val="00CA4BE6"/>
    <w:rsid w:val="00CB689F"/>
    <w:rsid w:val="00CB7477"/>
    <w:rsid w:val="00CD0DEB"/>
    <w:rsid w:val="00CD599D"/>
    <w:rsid w:val="00CD703E"/>
    <w:rsid w:val="00CE071B"/>
    <w:rsid w:val="00CE14FA"/>
    <w:rsid w:val="00CE1954"/>
    <w:rsid w:val="00CE452A"/>
    <w:rsid w:val="00CF24C8"/>
    <w:rsid w:val="00D11594"/>
    <w:rsid w:val="00D12332"/>
    <w:rsid w:val="00D14336"/>
    <w:rsid w:val="00D24E73"/>
    <w:rsid w:val="00D256CE"/>
    <w:rsid w:val="00D2713B"/>
    <w:rsid w:val="00D34834"/>
    <w:rsid w:val="00D35439"/>
    <w:rsid w:val="00D37EE0"/>
    <w:rsid w:val="00D545A5"/>
    <w:rsid w:val="00D545B4"/>
    <w:rsid w:val="00D628B4"/>
    <w:rsid w:val="00D64C63"/>
    <w:rsid w:val="00D6669D"/>
    <w:rsid w:val="00D66CCC"/>
    <w:rsid w:val="00D674A4"/>
    <w:rsid w:val="00D75CF8"/>
    <w:rsid w:val="00D816A2"/>
    <w:rsid w:val="00D83BF2"/>
    <w:rsid w:val="00D907FA"/>
    <w:rsid w:val="00DA5518"/>
    <w:rsid w:val="00DA7D08"/>
    <w:rsid w:val="00DB111C"/>
    <w:rsid w:val="00DB2F28"/>
    <w:rsid w:val="00DB429D"/>
    <w:rsid w:val="00DB501E"/>
    <w:rsid w:val="00DB7E53"/>
    <w:rsid w:val="00DC157A"/>
    <w:rsid w:val="00DC1AF9"/>
    <w:rsid w:val="00DC20E1"/>
    <w:rsid w:val="00DC77EB"/>
    <w:rsid w:val="00DD4F21"/>
    <w:rsid w:val="00DE25FB"/>
    <w:rsid w:val="00DF28B6"/>
    <w:rsid w:val="00DF2E76"/>
    <w:rsid w:val="00DF5BCB"/>
    <w:rsid w:val="00E012FD"/>
    <w:rsid w:val="00E057B7"/>
    <w:rsid w:val="00E11369"/>
    <w:rsid w:val="00E13B1D"/>
    <w:rsid w:val="00E2095E"/>
    <w:rsid w:val="00E20B81"/>
    <w:rsid w:val="00E250F2"/>
    <w:rsid w:val="00E274A1"/>
    <w:rsid w:val="00E3121E"/>
    <w:rsid w:val="00E329A9"/>
    <w:rsid w:val="00E339DC"/>
    <w:rsid w:val="00E43C6E"/>
    <w:rsid w:val="00E43E99"/>
    <w:rsid w:val="00E566DE"/>
    <w:rsid w:val="00E644BD"/>
    <w:rsid w:val="00E71463"/>
    <w:rsid w:val="00E7416B"/>
    <w:rsid w:val="00E82821"/>
    <w:rsid w:val="00E90338"/>
    <w:rsid w:val="00EA2F81"/>
    <w:rsid w:val="00EC1DFF"/>
    <w:rsid w:val="00ED1CB0"/>
    <w:rsid w:val="00ED5949"/>
    <w:rsid w:val="00ED6478"/>
    <w:rsid w:val="00EE46E9"/>
    <w:rsid w:val="00F02DD3"/>
    <w:rsid w:val="00F26053"/>
    <w:rsid w:val="00F32077"/>
    <w:rsid w:val="00F3552B"/>
    <w:rsid w:val="00F36425"/>
    <w:rsid w:val="00F417A8"/>
    <w:rsid w:val="00F43FD4"/>
    <w:rsid w:val="00F5050C"/>
    <w:rsid w:val="00F51852"/>
    <w:rsid w:val="00F52B24"/>
    <w:rsid w:val="00F55C7D"/>
    <w:rsid w:val="00F675EC"/>
    <w:rsid w:val="00F701E9"/>
    <w:rsid w:val="00F70AC7"/>
    <w:rsid w:val="00F771D3"/>
    <w:rsid w:val="00F95337"/>
    <w:rsid w:val="00FA0D2D"/>
    <w:rsid w:val="00FA5792"/>
    <w:rsid w:val="00FA5EB1"/>
    <w:rsid w:val="00FA7673"/>
    <w:rsid w:val="00FA7708"/>
    <w:rsid w:val="00FA77FB"/>
    <w:rsid w:val="00FB039E"/>
    <w:rsid w:val="00FB18EF"/>
    <w:rsid w:val="00FB1CF3"/>
    <w:rsid w:val="00FB51DC"/>
    <w:rsid w:val="00FC13B9"/>
    <w:rsid w:val="00FC2CB6"/>
    <w:rsid w:val="00FC36C3"/>
    <w:rsid w:val="00FC389C"/>
    <w:rsid w:val="00FC5AA0"/>
    <w:rsid w:val="00FD62C8"/>
    <w:rsid w:val="00FE0FF6"/>
    <w:rsid w:val="00FF3074"/>
    <w:rsid w:val="00FF4728"/>
    <w:rsid w:val="00FF4FFC"/>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91707-040E-4C62-96DC-262559AC9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D38732-3D1D-464D-8D74-531308A30FA4}">
  <ds:schemaRefs>
    <ds:schemaRef ds:uri="http://schemas.microsoft.com/sharepoint/v3/contenttype/forms"/>
  </ds:schemaRefs>
</ds:datastoreItem>
</file>

<file path=customXml/itemProps4.xml><?xml version="1.0" encoding="utf-8"?>
<ds:datastoreItem xmlns:ds="http://schemas.openxmlformats.org/officeDocument/2006/customXml" ds:itemID="{9426A481-64AE-4546-BC76-F1DE47BC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7</cp:revision>
  <dcterms:created xsi:type="dcterms:W3CDTF">2017-08-12T03:27:00Z</dcterms:created>
  <dcterms:modified xsi:type="dcterms:W3CDTF">2017-08-12T04:29:00Z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2017-08-10 20:21:41Z</vt:lpwstr>
  </property>
  <property fmtid="{D5CDD505-2E9C-101B-9397-08002B2CF9AE}" pid="6" name="CTPClassification">
    <vt:lpwstr>CTP_IC</vt:lpwstr>
  </property>
</Properties>
</file>